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0864" w:rsidRDefault="002C6C7A">
      <w:pPr>
        <w:pStyle w:val="Body"/>
      </w:pPr>
      <w:r>
        <w:rPr>
          <w:rFonts w:ascii="Arial" w:hAnsi="Arial"/>
          <w:b/>
          <w:bCs/>
          <w:sz w:val="120"/>
          <w:szCs w:val="120"/>
        </w:rPr>
        <w:t>URGENT ACTION</w:t>
      </w:r>
    </w:p>
    <w:p w:rsidR="00000864" w:rsidRDefault="002C6C7A">
      <w:pPr>
        <w:pStyle w:val="Body"/>
      </w:pPr>
      <w:r>
        <w:rPr>
          <w:rFonts w:ascii="Arial" w:hAnsi="Arial"/>
          <w:spacing w:val="-2"/>
          <w:sz w:val="38"/>
          <w:szCs w:val="38"/>
          <w:lang w:val="en-US"/>
        </w:rPr>
        <w:t>Cle</w:t>
      </w:r>
      <w:r w:rsidR="000D40CB">
        <w:rPr>
          <w:rFonts w:ascii="Arial" w:hAnsi="Arial"/>
          <w:spacing w:val="-2"/>
          <w:sz w:val="38"/>
          <w:szCs w:val="38"/>
          <w:lang w:val="en-US"/>
        </w:rPr>
        <w:t>mency denied, execution set in F</w:t>
      </w:r>
      <w:r>
        <w:rPr>
          <w:rFonts w:ascii="Arial" w:hAnsi="Arial"/>
          <w:spacing w:val="-2"/>
          <w:sz w:val="38"/>
          <w:szCs w:val="38"/>
          <w:lang w:val="en-US"/>
        </w:rPr>
        <w:t>lorida</w:t>
      </w:r>
    </w:p>
    <w:p w:rsidR="00000864" w:rsidRDefault="002C6C7A">
      <w:pPr>
        <w:pStyle w:val="Body"/>
        <w:spacing w:after="260"/>
      </w:pPr>
      <w:r>
        <w:rPr>
          <w:rFonts w:ascii="Arial" w:hAnsi="Arial"/>
          <w:b/>
          <w:bCs/>
          <w:lang w:val="en-US"/>
        </w:rPr>
        <w:t xml:space="preserve">Michael </w:t>
      </w:r>
      <w:proofErr w:type="spellStart"/>
      <w:r>
        <w:rPr>
          <w:rFonts w:ascii="Arial" w:hAnsi="Arial"/>
          <w:b/>
          <w:bCs/>
          <w:lang w:val="en-US"/>
        </w:rPr>
        <w:t>Lambrix</w:t>
      </w:r>
      <w:proofErr w:type="spellEnd"/>
      <w:r>
        <w:rPr>
          <w:rFonts w:ascii="Arial" w:hAnsi="Arial"/>
          <w:b/>
          <w:bCs/>
          <w:lang w:val="en-US"/>
        </w:rPr>
        <w:t xml:space="preserve"> has been denied clemency and his execution set for 11 February. Twenty-three years old when he was sent to Florida</w:t>
      </w:r>
      <w:r>
        <w:rPr>
          <w:rFonts w:ascii="Arial" w:hAnsi="Arial"/>
          <w:b/>
          <w:bCs/>
          <w:lang w:val="en-US"/>
        </w:rPr>
        <w:t>’</w:t>
      </w:r>
      <w:r>
        <w:rPr>
          <w:rFonts w:ascii="Arial" w:hAnsi="Arial"/>
          <w:b/>
          <w:bCs/>
          <w:lang w:val="en-US"/>
        </w:rPr>
        <w:t>s death row in 1984, he is now almost 56</w:t>
      </w:r>
      <w:r>
        <w:rPr>
          <w:b/>
          <w:bCs/>
        </w:rPr>
        <w:t>.</w:t>
      </w:r>
      <w:r>
        <w:rPr>
          <w:rFonts w:ascii="Arial" w:hAnsi="Arial"/>
          <w:b/>
          <w:bCs/>
          <w:lang w:val="en-US"/>
        </w:rPr>
        <w:t xml:space="preserve"> </w:t>
      </w:r>
      <w:r w:rsidR="000D40CB">
        <w:rPr>
          <w:rFonts w:ascii="Arial" w:hAnsi="Arial"/>
          <w:b/>
          <w:bCs/>
          <w:lang w:val="en-US"/>
        </w:rPr>
        <w:t xml:space="preserve"> </w:t>
      </w:r>
      <w:r>
        <w:rPr>
          <w:rFonts w:ascii="Arial" w:hAnsi="Arial"/>
          <w:b/>
          <w:bCs/>
          <w:lang w:val="en-US"/>
        </w:rPr>
        <w:t xml:space="preserve">He maintains that he acted in </w:t>
      </w:r>
      <w:proofErr w:type="spellStart"/>
      <w:r>
        <w:rPr>
          <w:rFonts w:ascii="Arial" w:hAnsi="Arial"/>
          <w:b/>
          <w:bCs/>
          <w:lang w:val="en-US"/>
        </w:rPr>
        <w:t>self-defence</w:t>
      </w:r>
      <w:proofErr w:type="spellEnd"/>
      <w:r>
        <w:rPr>
          <w:rFonts w:ascii="Arial" w:hAnsi="Arial"/>
          <w:b/>
          <w:bCs/>
          <w:lang w:val="en-US"/>
        </w:rPr>
        <w:t xml:space="preserve"> during the crime in question. </w:t>
      </w:r>
    </w:p>
    <w:p w:rsidR="00000864" w:rsidRDefault="002C6C7A">
      <w:pPr>
        <w:pStyle w:val="Body"/>
      </w:pPr>
      <w:r>
        <w:rPr>
          <w:rFonts w:ascii="Arial" w:hAnsi="Arial"/>
          <w:sz w:val="20"/>
          <w:szCs w:val="20"/>
          <w:lang w:val="en-US"/>
        </w:rPr>
        <w:t xml:space="preserve">Clarence Moore and </w:t>
      </w:r>
      <w:proofErr w:type="spellStart"/>
      <w:r>
        <w:rPr>
          <w:rFonts w:ascii="Arial" w:hAnsi="Arial"/>
          <w:sz w:val="20"/>
          <w:szCs w:val="20"/>
          <w:lang w:val="en-US"/>
        </w:rPr>
        <w:t>Aleisha</w:t>
      </w:r>
      <w:proofErr w:type="spellEnd"/>
      <w:r>
        <w:rPr>
          <w:rFonts w:ascii="Arial" w:hAnsi="Arial"/>
          <w:sz w:val="20"/>
          <w:szCs w:val="20"/>
          <w:lang w:val="en-US"/>
        </w:rPr>
        <w:t xml:space="preserve"> Bryant were killed on 6 February 1983 and buried near the trailer home that </w:t>
      </w:r>
      <w:r>
        <w:rPr>
          <w:rFonts w:ascii="Arial" w:hAnsi="Arial"/>
          <w:b/>
          <w:bCs/>
          <w:sz w:val="20"/>
          <w:szCs w:val="20"/>
          <w:lang w:val="en-US"/>
        </w:rPr>
        <w:t xml:space="preserve">Cary Michael </w:t>
      </w:r>
      <w:proofErr w:type="spellStart"/>
      <w:r>
        <w:rPr>
          <w:rFonts w:ascii="Arial" w:hAnsi="Arial"/>
          <w:b/>
          <w:bCs/>
          <w:sz w:val="20"/>
          <w:szCs w:val="20"/>
          <w:lang w:val="en-US"/>
        </w:rPr>
        <w:t>Lambrix</w:t>
      </w:r>
      <w:proofErr w:type="spellEnd"/>
      <w:r>
        <w:rPr>
          <w:rFonts w:ascii="Arial" w:hAnsi="Arial"/>
          <w:sz w:val="20"/>
          <w:szCs w:val="20"/>
          <w:lang w:val="en-US"/>
        </w:rPr>
        <w:t xml:space="preserve"> shared with Frances Smith.</w:t>
      </w:r>
      <w:r w:rsidR="000D40CB">
        <w:rPr>
          <w:rFonts w:ascii="Arial" w:hAnsi="Arial"/>
          <w:sz w:val="20"/>
          <w:szCs w:val="20"/>
          <w:lang w:val="en-US"/>
        </w:rPr>
        <w:t xml:space="preserve"> </w:t>
      </w:r>
      <w:r>
        <w:rPr>
          <w:rFonts w:ascii="Arial" w:hAnsi="Arial"/>
          <w:sz w:val="20"/>
          <w:szCs w:val="20"/>
          <w:lang w:val="en-US"/>
        </w:rPr>
        <w:t xml:space="preserve"> Michael </w:t>
      </w:r>
      <w:proofErr w:type="spellStart"/>
      <w:r>
        <w:rPr>
          <w:rFonts w:ascii="Arial" w:hAnsi="Arial"/>
          <w:sz w:val="20"/>
          <w:szCs w:val="20"/>
          <w:lang w:val="en-US"/>
        </w:rPr>
        <w:t>Lambrix</w:t>
      </w:r>
      <w:proofErr w:type="spellEnd"/>
      <w:r>
        <w:rPr>
          <w:rFonts w:ascii="Arial" w:hAnsi="Arial"/>
          <w:sz w:val="20"/>
          <w:szCs w:val="20"/>
          <w:lang w:val="en-US"/>
        </w:rPr>
        <w:t xml:space="preserve"> was charged wi</w:t>
      </w:r>
      <w:r>
        <w:rPr>
          <w:rFonts w:ascii="Arial" w:hAnsi="Arial"/>
          <w:sz w:val="20"/>
          <w:szCs w:val="20"/>
          <w:lang w:val="en-US"/>
        </w:rPr>
        <w:t xml:space="preserve">th murder. </w:t>
      </w:r>
      <w:r w:rsidR="000D40CB">
        <w:rPr>
          <w:rFonts w:ascii="Arial" w:hAnsi="Arial"/>
          <w:sz w:val="20"/>
          <w:szCs w:val="20"/>
          <w:lang w:val="en-US"/>
        </w:rPr>
        <w:t xml:space="preserve"> </w:t>
      </w:r>
      <w:r>
        <w:rPr>
          <w:rFonts w:ascii="Arial" w:hAnsi="Arial"/>
          <w:sz w:val="20"/>
          <w:szCs w:val="20"/>
          <w:lang w:val="en-US"/>
        </w:rPr>
        <w:t xml:space="preserve">His 1983 trial ended in a mistrial after the jury could not agree on a verdict. </w:t>
      </w:r>
      <w:r w:rsidR="000D40CB">
        <w:rPr>
          <w:rFonts w:ascii="Arial" w:hAnsi="Arial"/>
          <w:sz w:val="20"/>
          <w:szCs w:val="20"/>
          <w:lang w:val="en-US"/>
        </w:rPr>
        <w:t xml:space="preserve"> </w:t>
      </w:r>
      <w:r>
        <w:rPr>
          <w:rFonts w:ascii="Arial" w:hAnsi="Arial"/>
          <w:sz w:val="20"/>
          <w:szCs w:val="20"/>
          <w:lang w:val="en-US"/>
        </w:rPr>
        <w:t>At retrial in 1984, the jury voted to convict him of two counts of first-degree murder and recommended the death penalty, by 10 votes to two for one murder and eight</w:t>
      </w:r>
      <w:r>
        <w:rPr>
          <w:rFonts w:ascii="Arial" w:hAnsi="Arial"/>
          <w:sz w:val="20"/>
          <w:szCs w:val="20"/>
          <w:lang w:val="en-US"/>
        </w:rPr>
        <w:t xml:space="preserve"> to four for the other</w:t>
      </w:r>
      <w:r>
        <w:rPr>
          <w:sz w:val="20"/>
          <w:szCs w:val="20"/>
        </w:rPr>
        <w:t>.</w:t>
      </w:r>
      <w:r w:rsidR="000D40CB">
        <w:rPr>
          <w:sz w:val="20"/>
          <w:szCs w:val="20"/>
        </w:rPr>
        <w:t xml:space="preserve"> </w:t>
      </w:r>
      <w:r>
        <w:rPr>
          <w:rFonts w:ascii="Arial" w:hAnsi="Arial"/>
          <w:sz w:val="20"/>
          <w:szCs w:val="20"/>
          <w:lang w:val="en-US"/>
        </w:rPr>
        <w:t xml:space="preserve"> Michael </w:t>
      </w:r>
      <w:proofErr w:type="spellStart"/>
      <w:r>
        <w:rPr>
          <w:rFonts w:ascii="Arial" w:hAnsi="Arial"/>
          <w:sz w:val="20"/>
          <w:szCs w:val="20"/>
          <w:lang w:val="en-US"/>
        </w:rPr>
        <w:t>Lambrix</w:t>
      </w:r>
      <w:proofErr w:type="spellEnd"/>
      <w:r>
        <w:rPr>
          <w:rFonts w:ascii="Arial" w:hAnsi="Arial"/>
          <w:sz w:val="20"/>
          <w:szCs w:val="20"/>
          <w:lang w:val="en-US"/>
        </w:rPr>
        <w:t xml:space="preserve"> maintains his innocence of pre-meditated murder, claiming he acted in </w:t>
      </w:r>
      <w:proofErr w:type="spellStart"/>
      <w:r>
        <w:rPr>
          <w:rFonts w:ascii="Arial" w:hAnsi="Arial"/>
          <w:sz w:val="20"/>
          <w:szCs w:val="20"/>
          <w:lang w:val="en-US"/>
        </w:rPr>
        <w:t>self-defence</w:t>
      </w:r>
      <w:proofErr w:type="spellEnd"/>
      <w:r>
        <w:rPr>
          <w:rFonts w:ascii="Arial" w:hAnsi="Arial"/>
          <w:sz w:val="20"/>
          <w:szCs w:val="20"/>
          <w:lang w:val="en-US"/>
        </w:rPr>
        <w:t xml:space="preserve"> when Clarence Moore fatally attacked </w:t>
      </w:r>
      <w:proofErr w:type="spellStart"/>
      <w:r>
        <w:rPr>
          <w:rFonts w:ascii="Arial" w:hAnsi="Arial"/>
          <w:sz w:val="20"/>
          <w:szCs w:val="20"/>
          <w:lang w:val="en-US"/>
        </w:rPr>
        <w:t>Aleisha</w:t>
      </w:r>
      <w:proofErr w:type="spellEnd"/>
      <w:r>
        <w:rPr>
          <w:rFonts w:ascii="Arial" w:hAnsi="Arial"/>
          <w:sz w:val="20"/>
          <w:szCs w:val="20"/>
          <w:lang w:val="en-US"/>
        </w:rPr>
        <w:t xml:space="preserve"> Bryant and came at him when he tried to stop the assault.</w:t>
      </w:r>
    </w:p>
    <w:p w:rsidR="00000864" w:rsidRDefault="00000864">
      <w:pPr>
        <w:pStyle w:val="Body"/>
      </w:pPr>
    </w:p>
    <w:p w:rsidR="00000864" w:rsidRDefault="002C6C7A">
      <w:pPr>
        <w:pStyle w:val="Body"/>
      </w:pPr>
      <w:r>
        <w:rPr>
          <w:rFonts w:ascii="Arial" w:hAnsi="Arial"/>
          <w:sz w:val="20"/>
          <w:szCs w:val="20"/>
          <w:lang w:val="en-US"/>
        </w:rPr>
        <w:t>The prosecution</w:t>
      </w:r>
      <w:r>
        <w:rPr>
          <w:rFonts w:ascii="Arial" w:hAnsi="Arial"/>
          <w:sz w:val="20"/>
          <w:szCs w:val="20"/>
          <w:lang w:val="en-US"/>
        </w:rPr>
        <w:t>’</w:t>
      </w:r>
      <w:r>
        <w:rPr>
          <w:rFonts w:ascii="Arial" w:hAnsi="Arial"/>
          <w:sz w:val="20"/>
          <w:szCs w:val="20"/>
          <w:lang w:val="en-US"/>
        </w:rPr>
        <w:t>s key witness</w:t>
      </w:r>
      <w:r>
        <w:rPr>
          <w:rFonts w:ascii="Arial" w:hAnsi="Arial"/>
          <w:sz w:val="20"/>
          <w:szCs w:val="20"/>
          <w:lang w:val="en-US"/>
        </w:rPr>
        <w:t xml:space="preserve"> for its case against Michael </w:t>
      </w:r>
      <w:proofErr w:type="spellStart"/>
      <w:r>
        <w:rPr>
          <w:rFonts w:ascii="Arial" w:hAnsi="Arial"/>
          <w:sz w:val="20"/>
          <w:szCs w:val="20"/>
          <w:lang w:val="en-US"/>
        </w:rPr>
        <w:t>Lambrix</w:t>
      </w:r>
      <w:proofErr w:type="spellEnd"/>
      <w:r>
        <w:rPr>
          <w:rFonts w:ascii="Arial" w:hAnsi="Arial"/>
          <w:sz w:val="20"/>
          <w:szCs w:val="20"/>
          <w:lang w:val="en-US"/>
        </w:rPr>
        <w:t xml:space="preserve"> was Frances Smith</w:t>
      </w:r>
      <w:r>
        <w:rPr>
          <w:sz w:val="20"/>
          <w:szCs w:val="20"/>
        </w:rPr>
        <w:t>,</w:t>
      </w:r>
      <w:r>
        <w:rPr>
          <w:rFonts w:ascii="Arial" w:hAnsi="Arial"/>
          <w:sz w:val="20"/>
          <w:szCs w:val="20"/>
          <w:lang w:val="en-US"/>
        </w:rPr>
        <w:t xml:space="preserve"> who testified that </w:t>
      </w:r>
      <w:proofErr w:type="spellStart"/>
      <w:r>
        <w:rPr>
          <w:rFonts w:ascii="Arial" w:hAnsi="Arial"/>
          <w:sz w:val="20"/>
          <w:szCs w:val="20"/>
          <w:lang w:val="en-US"/>
        </w:rPr>
        <w:t>Lambrix</w:t>
      </w:r>
      <w:proofErr w:type="spellEnd"/>
      <w:r>
        <w:rPr>
          <w:rFonts w:ascii="Arial" w:hAnsi="Arial"/>
          <w:sz w:val="20"/>
          <w:szCs w:val="20"/>
          <w:lang w:val="en-US"/>
        </w:rPr>
        <w:t xml:space="preserve"> had killed the victims. </w:t>
      </w:r>
      <w:r w:rsidR="000D40CB">
        <w:rPr>
          <w:rFonts w:ascii="Arial" w:hAnsi="Arial"/>
          <w:sz w:val="20"/>
          <w:szCs w:val="20"/>
          <w:lang w:val="en-US"/>
        </w:rPr>
        <w:t xml:space="preserve"> </w:t>
      </w:r>
      <w:r>
        <w:rPr>
          <w:rFonts w:ascii="Arial" w:hAnsi="Arial"/>
          <w:sz w:val="20"/>
          <w:szCs w:val="20"/>
          <w:lang w:val="en-US"/>
        </w:rPr>
        <w:t xml:space="preserve">The judge did not allow the </w:t>
      </w:r>
      <w:proofErr w:type="spellStart"/>
      <w:r>
        <w:rPr>
          <w:rFonts w:ascii="Arial" w:hAnsi="Arial"/>
          <w:sz w:val="20"/>
          <w:szCs w:val="20"/>
          <w:lang w:val="en-US"/>
        </w:rPr>
        <w:t>defence</w:t>
      </w:r>
      <w:proofErr w:type="spellEnd"/>
      <w:r>
        <w:rPr>
          <w:rFonts w:ascii="Arial" w:hAnsi="Arial"/>
          <w:sz w:val="20"/>
          <w:szCs w:val="20"/>
          <w:lang w:val="en-US"/>
        </w:rPr>
        <w:t xml:space="preserve"> to raise prior inconsistent statements she had given to police.</w:t>
      </w:r>
      <w:r w:rsidR="000D40CB">
        <w:rPr>
          <w:rFonts w:ascii="Arial" w:hAnsi="Arial"/>
          <w:sz w:val="20"/>
          <w:szCs w:val="20"/>
          <w:lang w:val="en-US"/>
        </w:rPr>
        <w:t xml:space="preserve"> </w:t>
      </w:r>
      <w:r>
        <w:rPr>
          <w:rFonts w:ascii="Arial" w:hAnsi="Arial"/>
          <w:sz w:val="20"/>
          <w:szCs w:val="20"/>
          <w:lang w:val="en-US"/>
        </w:rPr>
        <w:t xml:space="preserve"> Deborah </w:t>
      </w:r>
      <w:proofErr w:type="spellStart"/>
      <w:r>
        <w:rPr>
          <w:rFonts w:ascii="Arial" w:hAnsi="Arial"/>
          <w:sz w:val="20"/>
          <w:szCs w:val="20"/>
          <w:lang w:val="en-US"/>
        </w:rPr>
        <w:t>Hanzel</w:t>
      </w:r>
      <w:proofErr w:type="spellEnd"/>
      <w:r>
        <w:rPr>
          <w:rFonts w:ascii="Arial" w:hAnsi="Arial"/>
          <w:sz w:val="20"/>
          <w:szCs w:val="20"/>
          <w:lang w:val="en-US"/>
        </w:rPr>
        <w:t>, who was living with Smith</w:t>
      </w:r>
      <w:r>
        <w:rPr>
          <w:rFonts w:ascii="Arial" w:hAnsi="Arial"/>
          <w:sz w:val="20"/>
          <w:szCs w:val="20"/>
          <w:lang w:val="en-US"/>
        </w:rPr>
        <w:t>’</w:t>
      </w:r>
      <w:r>
        <w:rPr>
          <w:rFonts w:ascii="Arial" w:hAnsi="Arial"/>
          <w:sz w:val="20"/>
          <w:szCs w:val="20"/>
          <w:lang w:val="en-US"/>
        </w:rPr>
        <w:t>s cous</w:t>
      </w:r>
      <w:r>
        <w:rPr>
          <w:rFonts w:ascii="Arial" w:hAnsi="Arial"/>
          <w:sz w:val="20"/>
          <w:szCs w:val="20"/>
          <w:lang w:val="en-US"/>
        </w:rPr>
        <w:t xml:space="preserve">in at the time, testified that Michael </w:t>
      </w:r>
      <w:proofErr w:type="spellStart"/>
      <w:r>
        <w:rPr>
          <w:rFonts w:ascii="Arial" w:hAnsi="Arial"/>
          <w:sz w:val="20"/>
          <w:szCs w:val="20"/>
          <w:lang w:val="en-US"/>
        </w:rPr>
        <w:t>Lambrix</w:t>
      </w:r>
      <w:proofErr w:type="spellEnd"/>
      <w:r>
        <w:rPr>
          <w:rFonts w:ascii="Arial" w:hAnsi="Arial"/>
          <w:sz w:val="20"/>
          <w:szCs w:val="20"/>
          <w:lang w:val="en-US"/>
        </w:rPr>
        <w:t xml:space="preserve"> had told her that he killed the victims. </w:t>
      </w:r>
      <w:r w:rsidR="000D40CB">
        <w:rPr>
          <w:rFonts w:ascii="Arial" w:hAnsi="Arial"/>
          <w:sz w:val="20"/>
          <w:szCs w:val="20"/>
          <w:lang w:val="en-US"/>
        </w:rPr>
        <w:t xml:space="preserve"> </w:t>
      </w:r>
      <w:r>
        <w:rPr>
          <w:rFonts w:ascii="Arial" w:hAnsi="Arial"/>
          <w:sz w:val="20"/>
          <w:szCs w:val="20"/>
          <w:lang w:val="en-US"/>
        </w:rPr>
        <w:t xml:space="preserve">She recanted this in 2003, saying that </w:t>
      </w:r>
      <w:proofErr w:type="spellStart"/>
      <w:r>
        <w:rPr>
          <w:rFonts w:ascii="Arial" w:hAnsi="Arial"/>
          <w:sz w:val="20"/>
          <w:szCs w:val="20"/>
          <w:lang w:val="en-US"/>
        </w:rPr>
        <w:t>Lambrix</w:t>
      </w:r>
      <w:proofErr w:type="spellEnd"/>
      <w:r>
        <w:rPr>
          <w:rFonts w:ascii="Arial" w:hAnsi="Arial"/>
          <w:sz w:val="20"/>
          <w:szCs w:val="20"/>
          <w:lang w:val="en-US"/>
        </w:rPr>
        <w:t xml:space="preserve"> </w:t>
      </w:r>
      <w:r>
        <w:rPr>
          <w:rFonts w:ascii="Arial" w:hAnsi="Arial"/>
          <w:sz w:val="20"/>
          <w:szCs w:val="20"/>
          <w:lang w:val="en-US"/>
        </w:rPr>
        <w:t>“</w:t>
      </w:r>
      <w:r>
        <w:rPr>
          <w:rFonts w:ascii="Arial" w:hAnsi="Arial"/>
          <w:sz w:val="20"/>
          <w:szCs w:val="20"/>
          <w:lang w:val="en-US"/>
        </w:rPr>
        <w:t>never told me at any time or in any manner indicated to me that he killed the victims</w:t>
      </w:r>
      <w:r>
        <w:rPr>
          <w:rFonts w:ascii="Arial" w:hAnsi="Arial"/>
          <w:sz w:val="20"/>
          <w:szCs w:val="20"/>
          <w:lang w:val="en-US"/>
        </w:rPr>
        <w:t>”</w:t>
      </w:r>
      <w:r>
        <w:rPr>
          <w:rFonts w:ascii="Arial" w:hAnsi="Arial"/>
          <w:sz w:val="20"/>
          <w:szCs w:val="20"/>
          <w:lang w:val="en-US"/>
        </w:rPr>
        <w:t>.</w:t>
      </w:r>
      <w:r w:rsidR="000D40CB">
        <w:rPr>
          <w:rFonts w:ascii="Arial" w:hAnsi="Arial"/>
          <w:sz w:val="20"/>
          <w:szCs w:val="20"/>
          <w:lang w:val="en-US"/>
        </w:rPr>
        <w:t xml:space="preserve"> </w:t>
      </w:r>
      <w:r>
        <w:rPr>
          <w:rFonts w:ascii="Arial" w:hAnsi="Arial"/>
          <w:sz w:val="20"/>
          <w:szCs w:val="20"/>
          <w:lang w:val="en-US"/>
        </w:rPr>
        <w:t xml:space="preserve"> She said that Frances Smith had </w:t>
      </w:r>
      <w:r>
        <w:rPr>
          <w:rFonts w:ascii="Arial" w:hAnsi="Arial"/>
          <w:sz w:val="20"/>
          <w:szCs w:val="20"/>
          <w:lang w:val="en-US"/>
        </w:rPr>
        <w:t xml:space="preserve">told her </w:t>
      </w:r>
      <w:r>
        <w:rPr>
          <w:rFonts w:ascii="Arial" w:hAnsi="Arial"/>
          <w:sz w:val="20"/>
          <w:szCs w:val="20"/>
          <w:lang w:val="en-US"/>
        </w:rPr>
        <w:t>“</w:t>
      </w:r>
      <w:r>
        <w:rPr>
          <w:rFonts w:ascii="Arial" w:hAnsi="Arial"/>
          <w:sz w:val="20"/>
          <w:szCs w:val="20"/>
          <w:lang w:val="en-US"/>
        </w:rPr>
        <w:t>she didn</w:t>
      </w:r>
      <w:r>
        <w:rPr>
          <w:rFonts w:ascii="Arial" w:hAnsi="Arial"/>
          <w:sz w:val="20"/>
          <w:szCs w:val="20"/>
          <w:lang w:val="en-US"/>
        </w:rPr>
        <w:t>’</w:t>
      </w:r>
      <w:r>
        <w:rPr>
          <w:rFonts w:ascii="Arial" w:hAnsi="Arial"/>
          <w:sz w:val="20"/>
          <w:szCs w:val="20"/>
          <w:lang w:val="en-US"/>
        </w:rPr>
        <w:t xml:space="preserve">t really know what happened outside but that </w:t>
      </w:r>
      <w:proofErr w:type="spellStart"/>
      <w:r>
        <w:rPr>
          <w:rFonts w:ascii="Arial" w:hAnsi="Arial"/>
          <w:sz w:val="20"/>
          <w:szCs w:val="20"/>
          <w:lang w:val="en-US"/>
        </w:rPr>
        <w:t>Mr</w:t>
      </w:r>
      <w:proofErr w:type="spellEnd"/>
      <w:r>
        <w:rPr>
          <w:rFonts w:ascii="Arial" w:hAnsi="Arial"/>
          <w:sz w:val="20"/>
          <w:szCs w:val="20"/>
          <w:lang w:val="en-US"/>
        </w:rPr>
        <w:t xml:space="preserve"> </w:t>
      </w:r>
      <w:proofErr w:type="spellStart"/>
      <w:r>
        <w:rPr>
          <w:rFonts w:ascii="Arial" w:hAnsi="Arial"/>
          <w:sz w:val="20"/>
          <w:szCs w:val="20"/>
          <w:lang w:val="en-US"/>
        </w:rPr>
        <w:t>Lambrix</w:t>
      </w:r>
      <w:proofErr w:type="spellEnd"/>
      <w:r>
        <w:rPr>
          <w:rFonts w:ascii="Arial" w:hAnsi="Arial"/>
          <w:sz w:val="20"/>
          <w:szCs w:val="20"/>
          <w:lang w:val="en-US"/>
        </w:rPr>
        <w:t xml:space="preserve"> had told her that the guy [Moore] went nuts and he had to hit him</w:t>
      </w:r>
      <w:r>
        <w:rPr>
          <w:rFonts w:ascii="Arial" w:hAnsi="Arial"/>
          <w:sz w:val="20"/>
          <w:szCs w:val="20"/>
          <w:lang w:val="en-US"/>
        </w:rPr>
        <w:t>”</w:t>
      </w:r>
      <w:r>
        <w:rPr>
          <w:rFonts w:ascii="Arial" w:hAnsi="Arial"/>
          <w:sz w:val="20"/>
          <w:szCs w:val="20"/>
          <w:lang w:val="en-US"/>
        </w:rPr>
        <w:t xml:space="preserve">. Deborah </w:t>
      </w:r>
      <w:proofErr w:type="spellStart"/>
      <w:r>
        <w:rPr>
          <w:rFonts w:ascii="Arial" w:hAnsi="Arial"/>
          <w:sz w:val="20"/>
          <w:szCs w:val="20"/>
          <w:lang w:val="en-US"/>
        </w:rPr>
        <w:t>Hanzel</w:t>
      </w:r>
      <w:proofErr w:type="spellEnd"/>
      <w:r>
        <w:rPr>
          <w:rFonts w:ascii="Arial" w:hAnsi="Arial"/>
          <w:sz w:val="20"/>
          <w:szCs w:val="20"/>
          <w:lang w:val="en-US"/>
        </w:rPr>
        <w:t xml:space="preserve"> said that she had lied because she had been asked by Smith to corroborate her story and had done s</w:t>
      </w:r>
      <w:r>
        <w:rPr>
          <w:rFonts w:ascii="Arial" w:hAnsi="Arial"/>
          <w:sz w:val="20"/>
          <w:szCs w:val="20"/>
          <w:lang w:val="en-US"/>
        </w:rPr>
        <w:t xml:space="preserve">o </w:t>
      </w:r>
      <w:r>
        <w:rPr>
          <w:rFonts w:ascii="Arial" w:hAnsi="Arial"/>
          <w:sz w:val="20"/>
          <w:szCs w:val="20"/>
          <w:lang w:val="en-US"/>
        </w:rPr>
        <w:t>“</w:t>
      </w:r>
      <w:r>
        <w:rPr>
          <w:rFonts w:ascii="Arial" w:hAnsi="Arial"/>
          <w:sz w:val="20"/>
          <w:szCs w:val="20"/>
          <w:lang w:val="en-US"/>
        </w:rPr>
        <w:t>due to the fear instilled in me</w:t>
      </w:r>
      <w:r>
        <w:rPr>
          <w:rFonts w:ascii="Arial" w:hAnsi="Arial"/>
          <w:sz w:val="20"/>
          <w:szCs w:val="20"/>
          <w:lang w:val="en-US"/>
        </w:rPr>
        <w:t xml:space="preserve">” </w:t>
      </w:r>
      <w:r>
        <w:rPr>
          <w:rFonts w:ascii="Arial" w:hAnsi="Arial"/>
          <w:sz w:val="20"/>
          <w:szCs w:val="20"/>
          <w:lang w:val="en-US"/>
        </w:rPr>
        <w:t xml:space="preserve">about </w:t>
      </w:r>
      <w:proofErr w:type="spellStart"/>
      <w:r>
        <w:rPr>
          <w:rFonts w:ascii="Arial" w:hAnsi="Arial"/>
          <w:sz w:val="20"/>
          <w:szCs w:val="20"/>
          <w:lang w:val="en-US"/>
        </w:rPr>
        <w:t>Lambrix</w:t>
      </w:r>
      <w:proofErr w:type="spellEnd"/>
      <w:r>
        <w:rPr>
          <w:rFonts w:ascii="Arial" w:hAnsi="Arial"/>
          <w:sz w:val="20"/>
          <w:szCs w:val="20"/>
          <w:lang w:val="en-US"/>
        </w:rPr>
        <w:t xml:space="preserve"> </w:t>
      </w:r>
      <w:r>
        <w:rPr>
          <w:rFonts w:ascii="Arial" w:hAnsi="Arial"/>
          <w:sz w:val="20"/>
          <w:szCs w:val="20"/>
          <w:lang w:val="en-US"/>
        </w:rPr>
        <w:t>“</w:t>
      </w:r>
      <w:r>
        <w:rPr>
          <w:rFonts w:ascii="Arial" w:hAnsi="Arial"/>
          <w:sz w:val="20"/>
          <w:szCs w:val="20"/>
          <w:lang w:val="en-US"/>
        </w:rPr>
        <w:t>by Frances Smith and state officials</w:t>
      </w:r>
      <w:r>
        <w:rPr>
          <w:rFonts w:ascii="Arial" w:hAnsi="Arial"/>
          <w:sz w:val="20"/>
          <w:szCs w:val="20"/>
          <w:lang w:val="en-US"/>
        </w:rPr>
        <w:t>”</w:t>
      </w:r>
      <w:r>
        <w:rPr>
          <w:rFonts w:ascii="Arial" w:hAnsi="Arial"/>
          <w:sz w:val="20"/>
          <w:szCs w:val="20"/>
          <w:lang w:val="en-US"/>
        </w:rPr>
        <w:t xml:space="preserve">. </w:t>
      </w:r>
      <w:r w:rsidR="000D40CB">
        <w:rPr>
          <w:rFonts w:ascii="Arial" w:hAnsi="Arial"/>
          <w:sz w:val="20"/>
          <w:szCs w:val="20"/>
          <w:lang w:val="en-US"/>
        </w:rPr>
        <w:t xml:space="preserve"> </w:t>
      </w:r>
      <w:r>
        <w:rPr>
          <w:rFonts w:ascii="Arial" w:hAnsi="Arial"/>
          <w:sz w:val="20"/>
          <w:szCs w:val="20"/>
          <w:lang w:val="en-US"/>
        </w:rPr>
        <w:t xml:space="preserve">She was recanting now, she said, because </w:t>
      </w:r>
      <w:r>
        <w:rPr>
          <w:rFonts w:ascii="Arial" w:hAnsi="Arial"/>
          <w:sz w:val="20"/>
          <w:szCs w:val="20"/>
          <w:lang w:val="en-US"/>
        </w:rPr>
        <w:t>“</w:t>
      </w:r>
      <w:r>
        <w:rPr>
          <w:rFonts w:ascii="Arial" w:hAnsi="Arial"/>
          <w:sz w:val="20"/>
          <w:szCs w:val="20"/>
          <w:lang w:val="en-US"/>
        </w:rPr>
        <w:t>I cannot run from the truth.</w:t>
      </w:r>
      <w:r w:rsidR="000D40CB">
        <w:rPr>
          <w:rFonts w:ascii="Arial" w:hAnsi="Arial"/>
          <w:sz w:val="20"/>
          <w:szCs w:val="20"/>
          <w:lang w:val="en-US"/>
        </w:rPr>
        <w:t xml:space="preserve"> </w:t>
      </w:r>
      <w:r>
        <w:rPr>
          <w:rFonts w:ascii="Arial" w:hAnsi="Arial"/>
          <w:sz w:val="20"/>
          <w:szCs w:val="20"/>
          <w:lang w:val="en-US"/>
        </w:rPr>
        <w:t xml:space="preserve"> I do not want to feel the guilt anymore</w:t>
      </w:r>
      <w:r>
        <w:rPr>
          <w:rFonts w:ascii="Arial" w:hAnsi="Arial"/>
          <w:sz w:val="20"/>
          <w:szCs w:val="20"/>
          <w:lang w:val="en-US"/>
        </w:rPr>
        <w:t>”</w:t>
      </w:r>
      <w:r>
        <w:rPr>
          <w:rFonts w:ascii="Arial" w:hAnsi="Arial"/>
          <w:sz w:val="20"/>
          <w:szCs w:val="20"/>
        </w:rPr>
        <w:t>.</w:t>
      </w:r>
    </w:p>
    <w:p w:rsidR="00000864" w:rsidRDefault="00000864">
      <w:pPr>
        <w:pStyle w:val="Body"/>
      </w:pPr>
    </w:p>
    <w:p w:rsidR="00000864" w:rsidRDefault="002C6C7A">
      <w:pPr>
        <w:pStyle w:val="Body"/>
      </w:pPr>
      <w:r>
        <w:rPr>
          <w:rFonts w:ascii="Arial" w:hAnsi="Arial"/>
          <w:sz w:val="20"/>
          <w:szCs w:val="20"/>
          <w:lang w:val="en-US"/>
        </w:rPr>
        <w:t xml:space="preserve">In late November 2015, Michael </w:t>
      </w:r>
      <w:proofErr w:type="spellStart"/>
      <w:r>
        <w:rPr>
          <w:rFonts w:ascii="Arial" w:hAnsi="Arial"/>
          <w:sz w:val="20"/>
          <w:szCs w:val="20"/>
          <w:lang w:val="en-US"/>
        </w:rPr>
        <w:t>Lambrix</w:t>
      </w:r>
      <w:r>
        <w:rPr>
          <w:rFonts w:ascii="Arial" w:hAnsi="Arial"/>
          <w:sz w:val="20"/>
          <w:szCs w:val="20"/>
          <w:lang w:val="en-US"/>
        </w:rPr>
        <w:t>’</w:t>
      </w:r>
      <w:r>
        <w:rPr>
          <w:rFonts w:ascii="Arial" w:hAnsi="Arial"/>
          <w:sz w:val="20"/>
          <w:szCs w:val="20"/>
          <w:lang w:val="en-US"/>
        </w:rPr>
        <w:t>s</w:t>
      </w:r>
      <w:proofErr w:type="spellEnd"/>
      <w:r>
        <w:rPr>
          <w:rFonts w:ascii="Arial" w:hAnsi="Arial"/>
          <w:sz w:val="20"/>
          <w:szCs w:val="20"/>
          <w:lang w:val="en-US"/>
        </w:rPr>
        <w:t xml:space="preserve"> lawyer was </w:t>
      </w:r>
      <w:r>
        <w:rPr>
          <w:rFonts w:ascii="Arial" w:hAnsi="Arial"/>
          <w:sz w:val="20"/>
          <w:szCs w:val="20"/>
          <w:lang w:val="en-US"/>
        </w:rPr>
        <w:t>informed</w:t>
      </w:r>
      <w:r>
        <w:rPr>
          <w:sz w:val="20"/>
          <w:szCs w:val="20"/>
        </w:rPr>
        <w:t>,</w:t>
      </w:r>
      <w:r>
        <w:rPr>
          <w:rFonts w:ascii="Arial" w:hAnsi="Arial"/>
          <w:sz w:val="20"/>
          <w:szCs w:val="20"/>
          <w:lang w:val="en-US"/>
        </w:rPr>
        <w:t xml:space="preserve"> with no explanation</w:t>
      </w:r>
      <w:r>
        <w:rPr>
          <w:sz w:val="20"/>
          <w:szCs w:val="20"/>
        </w:rPr>
        <w:t>,</w:t>
      </w:r>
      <w:r>
        <w:rPr>
          <w:rFonts w:ascii="Arial" w:hAnsi="Arial"/>
          <w:sz w:val="20"/>
          <w:szCs w:val="20"/>
          <w:lang w:val="en-US"/>
        </w:rPr>
        <w:t xml:space="preserve"> that his client had been denied clemency. </w:t>
      </w:r>
      <w:r w:rsidR="000D40CB">
        <w:rPr>
          <w:rFonts w:ascii="Arial" w:hAnsi="Arial"/>
          <w:sz w:val="20"/>
          <w:szCs w:val="20"/>
          <w:lang w:val="en-US"/>
        </w:rPr>
        <w:t xml:space="preserve"> </w:t>
      </w:r>
      <w:r>
        <w:rPr>
          <w:rFonts w:ascii="Arial" w:hAnsi="Arial"/>
          <w:sz w:val="20"/>
          <w:szCs w:val="20"/>
          <w:lang w:val="en-US"/>
        </w:rPr>
        <w:t xml:space="preserve">In December he called on the clemency authorities to stay the execution and to conduct a full investigation into the case for clemency, including an interview of Michael </w:t>
      </w:r>
      <w:proofErr w:type="spellStart"/>
      <w:r>
        <w:rPr>
          <w:rFonts w:ascii="Arial" w:hAnsi="Arial"/>
          <w:sz w:val="20"/>
          <w:szCs w:val="20"/>
          <w:lang w:val="en-US"/>
        </w:rPr>
        <w:t>Lambrix</w:t>
      </w:r>
      <w:proofErr w:type="spellEnd"/>
      <w:r>
        <w:rPr>
          <w:rFonts w:ascii="Arial" w:hAnsi="Arial"/>
          <w:sz w:val="20"/>
          <w:szCs w:val="20"/>
          <w:lang w:val="en-US"/>
        </w:rPr>
        <w:t xml:space="preserve">, and </w:t>
      </w:r>
      <w:r>
        <w:rPr>
          <w:rFonts w:ascii="Arial" w:hAnsi="Arial"/>
          <w:sz w:val="20"/>
          <w:szCs w:val="20"/>
          <w:lang w:val="en-US"/>
        </w:rPr>
        <w:t>to hold a clemency hearing</w:t>
      </w:r>
      <w:r>
        <w:rPr>
          <w:sz w:val="20"/>
          <w:szCs w:val="20"/>
        </w:rPr>
        <w:t>.</w:t>
      </w:r>
      <w:r>
        <w:rPr>
          <w:rFonts w:ascii="Arial" w:hAnsi="Arial"/>
          <w:sz w:val="20"/>
          <w:szCs w:val="20"/>
          <w:lang w:val="en-US"/>
        </w:rPr>
        <w:t xml:space="preserve"> What the impact of a recent US Supreme Court ruling will be on Michael </w:t>
      </w:r>
      <w:proofErr w:type="spellStart"/>
      <w:r>
        <w:rPr>
          <w:rFonts w:ascii="Arial" w:hAnsi="Arial"/>
          <w:sz w:val="20"/>
          <w:szCs w:val="20"/>
          <w:lang w:val="en-US"/>
        </w:rPr>
        <w:t>Lambrix</w:t>
      </w:r>
      <w:r>
        <w:rPr>
          <w:rFonts w:ascii="Arial" w:hAnsi="Arial"/>
          <w:sz w:val="20"/>
          <w:szCs w:val="20"/>
          <w:lang w:val="en-US"/>
        </w:rPr>
        <w:t>’</w:t>
      </w:r>
      <w:r>
        <w:rPr>
          <w:rFonts w:ascii="Arial" w:hAnsi="Arial"/>
          <w:sz w:val="20"/>
          <w:szCs w:val="20"/>
          <w:lang w:val="en-US"/>
        </w:rPr>
        <w:t>s</w:t>
      </w:r>
      <w:proofErr w:type="spellEnd"/>
      <w:r>
        <w:rPr>
          <w:rFonts w:ascii="Arial" w:hAnsi="Arial"/>
          <w:sz w:val="20"/>
          <w:szCs w:val="20"/>
          <w:lang w:val="en-US"/>
        </w:rPr>
        <w:t xml:space="preserve"> situation is as yet unknown.</w:t>
      </w:r>
    </w:p>
    <w:p w:rsidR="00000864" w:rsidRDefault="00000864">
      <w:pPr>
        <w:pStyle w:val="Body"/>
      </w:pPr>
    </w:p>
    <w:p w:rsidR="00000864" w:rsidRDefault="002C6C7A">
      <w:pPr>
        <w:pStyle w:val="Body"/>
      </w:pPr>
      <w:r>
        <w:rPr>
          <w:rFonts w:ascii="Arial" w:hAnsi="Arial"/>
          <w:b/>
          <w:bCs/>
          <w:sz w:val="20"/>
          <w:szCs w:val="20"/>
          <w:lang w:val="en-US"/>
        </w:rPr>
        <w:t>Please write immediately in English or your own language:</w:t>
      </w:r>
    </w:p>
    <w:p w:rsidR="00000864" w:rsidRDefault="002C6C7A">
      <w:pPr>
        <w:pStyle w:val="Body"/>
      </w:pPr>
      <w:proofErr w:type="gramStart"/>
      <w:r>
        <w:rPr>
          <w:rFonts w:ascii="Lucida Grande" w:hAnsi="Lucida Grande"/>
          <w:color w:val="999999"/>
          <w:sz w:val="16"/>
          <w:szCs w:val="16"/>
          <w:u w:color="999999"/>
          <w:lang w:val="en-US"/>
        </w:rPr>
        <w:t>ν</w:t>
      </w:r>
      <w:proofErr w:type="gramEnd"/>
      <w:r>
        <w:rPr>
          <w:rFonts w:ascii="Arial Unicode MS" w:hAnsi="Arial Unicode MS"/>
          <w:color w:val="999999"/>
          <w:sz w:val="16"/>
          <w:szCs w:val="16"/>
          <w:u w:color="999999"/>
        </w:rPr>
        <w:tab/>
      </w:r>
      <w:r>
        <w:rPr>
          <w:rFonts w:ascii="Arial" w:hAnsi="Arial"/>
          <w:sz w:val="20"/>
          <w:szCs w:val="20"/>
          <w:lang w:val="en-US"/>
        </w:rPr>
        <w:t xml:space="preserve">Calling for the execution to be halted, denial of </w:t>
      </w:r>
      <w:r>
        <w:rPr>
          <w:rFonts w:ascii="Arial" w:hAnsi="Arial"/>
          <w:sz w:val="20"/>
          <w:szCs w:val="20"/>
          <w:lang w:val="en-US"/>
        </w:rPr>
        <w:t>clemency reconsidered, and the death sentence commuted;</w:t>
      </w:r>
    </w:p>
    <w:p w:rsidR="00000864" w:rsidRDefault="002C6C7A">
      <w:pPr>
        <w:pStyle w:val="Body"/>
      </w:pPr>
      <w:r>
        <w:rPr>
          <w:rFonts w:ascii="Lucida Grande" w:hAnsi="Lucida Grande"/>
          <w:color w:val="999999"/>
          <w:sz w:val="16"/>
          <w:szCs w:val="16"/>
          <w:u w:color="999999"/>
          <w:lang w:val="en-US"/>
        </w:rPr>
        <w:t>ν</w:t>
      </w:r>
      <w:r>
        <w:rPr>
          <w:rFonts w:ascii="Arial Unicode MS" w:hAnsi="Arial Unicode MS"/>
          <w:color w:val="999999"/>
          <w:sz w:val="16"/>
          <w:szCs w:val="16"/>
          <w:u w:color="999999"/>
        </w:rPr>
        <w:tab/>
      </w:r>
      <w:r>
        <w:rPr>
          <w:rFonts w:ascii="Arial" w:hAnsi="Arial"/>
          <w:sz w:val="20"/>
          <w:szCs w:val="20"/>
          <w:lang w:val="en-US"/>
        </w:rPr>
        <w:t>Expressing concern at the non-transparency of Florida</w:t>
      </w:r>
      <w:r>
        <w:rPr>
          <w:rFonts w:ascii="Arial" w:hAnsi="Arial"/>
          <w:sz w:val="20"/>
          <w:szCs w:val="20"/>
          <w:lang w:val="en-US"/>
        </w:rPr>
        <w:t>’</w:t>
      </w:r>
      <w:r>
        <w:rPr>
          <w:rFonts w:ascii="Arial" w:hAnsi="Arial"/>
          <w:sz w:val="20"/>
          <w:szCs w:val="20"/>
          <w:lang w:val="en-US"/>
        </w:rPr>
        <w:t xml:space="preserve">s clemency process, and the absence of any public explanation for the denial of clemency to Cary Michael </w:t>
      </w:r>
      <w:proofErr w:type="spellStart"/>
      <w:r>
        <w:rPr>
          <w:rFonts w:ascii="Arial" w:hAnsi="Arial"/>
          <w:sz w:val="20"/>
          <w:szCs w:val="20"/>
          <w:lang w:val="en-US"/>
        </w:rPr>
        <w:t>Lambrix</w:t>
      </w:r>
      <w:proofErr w:type="spellEnd"/>
      <w:r>
        <w:rPr>
          <w:rFonts w:ascii="Arial" w:hAnsi="Arial"/>
          <w:sz w:val="20"/>
          <w:szCs w:val="20"/>
          <w:lang w:val="en-US"/>
        </w:rPr>
        <w:t xml:space="preserve"> or any information about what i</w:t>
      </w:r>
      <w:r>
        <w:rPr>
          <w:rFonts w:ascii="Arial" w:hAnsi="Arial"/>
          <w:sz w:val="20"/>
          <w:szCs w:val="20"/>
          <w:lang w:val="en-US"/>
        </w:rPr>
        <w:t>nvestigation was conducted into his case for clemency and what its conclusions were;</w:t>
      </w:r>
    </w:p>
    <w:p w:rsidR="00000864" w:rsidRDefault="002C6C7A">
      <w:pPr>
        <w:pStyle w:val="Body"/>
      </w:pPr>
      <w:proofErr w:type="gramStart"/>
      <w:r>
        <w:rPr>
          <w:rFonts w:ascii="Lucida Grande" w:hAnsi="Lucida Grande"/>
          <w:color w:val="999999"/>
          <w:sz w:val="16"/>
          <w:szCs w:val="16"/>
          <w:u w:color="999999"/>
          <w:lang w:val="en-US"/>
        </w:rPr>
        <w:t>ν</w:t>
      </w:r>
      <w:proofErr w:type="gramEnd"/>
      <w:r>
        <w:rPr>
          <w:rFonts w:ascii="Arial Unicode MS" w:hAnsi="Arial Unicode MS"/>
          <w:color w:val="999999"/>
          <w:sz w:val="16"/>
          <w:szCs w:val="16"/>
          <w:u w:color="999999"/>
        </w:rPr>
        <w:tab/>
      </w:r>
      <w:r>
        <w:rPr>
          <w:rFonts w:ascii="Arial" w:hAnsi="Arial"/>
          <w:sz w:val="20"/>
          <w:szCs w:val="20"/>
          <w:lang w:val="en-US"/>
        </w:rPr>
        <w:t xml:space="preserve">Noting that Michael </w:t>
      </w:r>
      <w:proofErr w:type="spellStart"/>
      <w:r>
        <w:rPr>
          <w:rFonts w:ascii="Arial" w:hAnsi="Arial"/>
          <w:sz w:val="20"/>
          <w:szCs w:val="20"/>
          <w:lang w:val="en-US"/>
        </w:rPr>
        <w:t>Lambrix</w:t>
      </w:r>
      <w:proofErr w:type="spellEnd"/>
      <w:r>
        <w:rPr>
          <w:rFonts w:ascii="Arial" w:hAnsi="Arial"/>
          <w:sz w:val="20"/>
          <w:szCs w:val="20"/>
          <w:lang w:val="en-US"/>
        </w:rPr>
        <w:t xml:space="preserve"> denies pre-meditated murder and maintains that he acted in </w:t>
      </w:r>
      <w:proofErr w:type="spellStart"/>
      <w:r>
        <w:rPr>
          <w:rFonts w:ascii="Arial" w:hAnsi="Arial"/>
          <w:sz w:val="20"/>
          <w:szCs w:val="20"/>
          <w:lang w:val="en-US"/>
        </w:rPr>
        <w:t>self-defence</w:t>
      </w:r>
      <w:proofErr w:type="spellEnd"/>
      <w:r>
        <w:rPr>
          <w:rFonts w:ascii="Arial" w:hAnsi="Arial"/>
          <w:sz w:val="20"/>
          <w:szCs w:val="20"/>
          <w:lang w:val="en-US"/>
        </w:rPr>
        <w:t>;</w:t>
      </w:r>
    </w:p>
    <w:p w:rsidR="00000864" w:rsidRDefault="002C6C7A">
      <w:pPr>
        <w:pStyle w:val="Body"/>
      </w:pPr>
      <w:proofErr w:type="gramStart"/>
      <w:r>
        <w:rPr>
          <w:rFonts w:ascii="Lucida Grande" w:hAnsi="Lucida Grande"/>
          <w:color w:val="999999"/>
          <w:sz w:val="16"/>
          <w:szCs w:val="16"/>
          <w:u w:color="999999"/>
          <w:lang w:val="en-US"/>
        </w:rPr>
        <w:t>ν</w:t>
      </w:r>
      <w:proofErr w:type="gramEnd"/>
      <w:r>
        <w:rPr>
          <w:rFonts w:ascii="Arial Unicode MS" w:hAnsi="Arial Unicode MS"/>
          <w:color w:val="999999"/>
          <w:sz w:val="16"/>
          <w:szCs w:val="16"/>
          <w:u w:color="999999"/>
        </w:rPr>
        <w:tab/>
      </w:r>
      <w:r>
        <w:rPr>
          <w:rFonts w:ascii="Arial" w:hAnsi="Arial"/>
          <w:sz w:val="20"/>
          <w:szCs w:val="20"/>
          <w:lang w:val="en-US"/>
        </w:rPr>
        <w:t>Noting that the state</w:t>
      </w:r>
      <w:r>
        <w:rPr>
          <w:rFonts w:ascii="Arial" w:hAnsi="Arial"/>
          <w:sz w:val="20"/>
          <w:szCs w:val="20"/>
          <w:lang w:val="en-US"/>
        </w:rPr>
        <w:t>’</w:t>
      </w:r>
      <w:r>
        <w:rPr>
          <w:rFonts w:ascii="Arial" w:hAnsi="Arial"/>
          <w:sz w:val="20"/>
          <w:szCs w:val="20"/>
          <w:lang w:val="en-US"/>
        </w:rPr>
        <w:t>s case was circumstantial, and pointing to t</w:t>
      </w:r>
      <w:r>
        <w:rPr>
          <w:rFonts w:ascii="Arial" w:hAnsi="Arial"/>
          <w:sz w:val="20"/>
          <w:szCs w:val="20"/>
          <w:lang w:val="en-US"/>
        </w:rPr>
        <w:t xml:space="preserve">he </w:t>
      </w:r>
      <w:proofErr w:type="spellStart"/>
      <w:r>
        <w:rPr>
          <w:rFonts w:ascii="Arial" w:hAnsi="Arial"/>
          <w:sz w:val="20"/>
          <w:szCs w:val="20"/>
          <w:lang w:val="en-US"/>
        </w:rPr>
        <w:t>Hanzel</w:t>
      </w:r>
      <w:proofErr w:type="spellEnd"/>
      <w:r>
        <w:rPr>
          <w:rFonts w:ascii="Arial" w:hAnsi="Arial"/>
          <w:sz w:val="20"/>
          <w:szCs w:val="20"/>
          <w:lang w:val="en-US"/>
        </w:rPr>
        <w:t xml:space="preserve"> recantation, and the non-unanimous jury recommendation for the death penalty;</w:t>
      </w:r>
    </w:p>
    <w:p w:rsidR="00000864" w:rsidRDefault="002C6C7A">
      <w:pPr>
        <w:pStyle w:val="Body"/>
      </w:pPr>
      <w:r>
        <w:rPr>
          <w:rFonts w:ascii="Lucida Grande" w:hAnsi="Lucida Grande"/>
          <w:color w:val="999999"/>
          <w:sz w:val="16"/>
          <w:szCs w:val="16"/>
          <w:u w:color="999999"/>
          <w:lang w:val="en-US"/>
        </w:rPr>
        <w:t>ν</w:t>
      </w:r>
      <w:r>
        <w:rPr>
          <w:rFonts w:ascii="Arial Unicode MS" w:hAnsi="Arial Unicode MS"/>
          <w:color w:val="999999"/>
          <w:sz w:val="16"/>
          <w:szCs w:val="16"/>
          <w:u w:color="999999"/>
        </w:rPr>
        <w:tab/>
      </w:r>
      <w:r>
        <w:rPr>
          <w:rFonts w:ascii="Arial" w:hAnsi="Arial"/>
          <w:sz w:val="20"/>
          <w:szCs w:val="20"/>
          <w:lang w:val="en-US"/>
        </w:rPr>
        <w:t xml:space="preserve">Noting the recent </w:t>
      </w:r>
      <w:r>
        <w:rPr>
          <w:rFonts w:ascii="Arial" w:hAnsi="Arial"/>
          <w:i/>
          <w:iCs/>
          <w:sz w:val="20"/>
          <w:szCs w:val="20"/>
          <w:lang w:val="pt-PT"/>
        </w:rPr>
        <w:t>Hurst v. Florida</w:t>
      </w:r>
      <w:r>
        <w:rPr>
          <w:rFonts w:ascii="Arial" w:hAnsi="Arial"/>
          <w:sz w:val="20"/>
          <w:szCs w:val="20"/>
          <w:lang w:val="en-US"/>
        </w:rPr>
        <w:t xml:space="preserve"> ruling of the US Supreme Court, and urging that at the very least all executions be put on hold in Florida pending resolution of th</w:t>
      </w:r>
      <w:r>
        <w:rPr>
          <w:rFonts w:ascii="Arial" w:hAnsi="Arial"/>
          <w:sz w:val="20"/>
          <w:szCs w:val="20"/>
          <w:lang w:val="en-US"/>
        </w:rPr>
        <w:t>e issues raised by the ruling.</w:t>
      </w:r>
    </w:p>
    <w:p w:rsidR="00000864" w:rsidRDefault="00000864">
      <w:pPr>
        <w:pStyle w:val="Body"/>
      </w:pPr>
    </w:p>
    <w:p w:rsidR="00000864" w:rsidRDefault="002C6C7A">
      <w:pPr>
        <w:pStyle w:val="Body"/>
      </w:pPr>
      <w:r>
        <w:rPr>
          <w:rFonts w:ascii="Arial" w:hAnsi="Arial"/>
          <w:b/>
          <w:bCs/>
          <w:sz w:val="20"/>
          <w:szCs w:val="20"/>
        </w:rPr>
        <w:t>PLEASE SEND APPEALS BEFORE 11 FEBRUARY 2016 TO:</w:t>
      </w:r>
    </w:p>
    <w:p w:rsidR="00000864" w:rsidRDefault="002C6C7A">
      <w:pPr>
        <w:pStyle w:val="Body"/>
      </w:pPr>
      <w:r>
        <w:rPr>
          <w:rFonts w:ascii="Arial" w:hAnsi="Arial"/>
          <w:sz w:val="16"/>
          <w:szCs w:val="16"/>
          <w:u w:val="single"/>
          <w:lang w:val="en-US"/>
        </w:rPr>
        <w:t>Governor Rick Scott</w:t>
      </w:r>
    </w:p>
    <w:p w:rsidR="00000864" w:rsidRDefault="002C6C7A">
      <w:pPr>
        <w:pStyle w:val="Body"/>
      </w:pPr>
      <w:r>
        <w:rPr>
          <w:rFonts w:ascii="Arial" w:hAnsi="Arial"/>
          <w:sz w:val="16"/>
          <w:szCs w:val="16"/>
          <w:lang w:val="en-US"/>
        </w:rPr>
        <w:t xml:space="preserve">Office of the Governor, </w:t>
      </w:r>
      <w:proofErr w:type="gramStart"/>
      <w:r>
        <w:rPr>
          <w:rFonts w:ascii="Arial" w:hAnsi="Arial"/>
          <w:sz w:val="16"/>
          <w:szCs w:val="16"/>
          <w:lang w:val="en-US"/>
        </w:rPr>
        <w:t>The</w:t>
      </w:r>
      <w:proofErr w:type="gramEnd"/>
      <w:r>
        <w:rPr>
          <w:rFonts w:ascii="Arial" w:hAnsi="Arial"/>
          <w:sz w:val="16"/>
          <w:szCs w:val="16"/>
          <w:lang w:val="en-US"/>
        </w:rPr>
        <w:t xml:space="preserve"> Capitol</w:t>
      </w:r>
    </w:p>
    <w:p w:rsidR="00000864" w:rsidRDefault="002C6C7A">
      <w:pPr>
        <w:pStyle w:val="Body"/>
      </w:pPr>
      <w:r>
        <w:rPr>
          <w:rFonts w:ascii="Arial" w:hAnsi="Arial"/>
          <w:sz w:val="16"/>
          <w:szCs w:val="16"/>
        </w:rPr>
        <w:t xml:space="preserve">400 S. Monroe St. </w:t>
      </w:r>
    </w:p>
    <w:p w:rsidR="00000864" w:rsidRDefault="002C6C7A">
      <w:pPr>
        <w:pStyle w:val="Body"/>
      </w:pPr>
      <w:r>
        <w:rPr>
          <w:rFonts w:ascii="Arial" w:hAnsi="Arial"/>
          <w:sz w:val="16"/>
          <w:szCs w:val="16"/>
        </w:rPr>
        <w:t>Tallahassee, FL 32399-0001, USA</w:t>
      </w:r>
    </w:p>
    <w:p w:rsidR="00000864" w:rsidRDefault="002C6C7A">
      <w:pPr>
        <w:pStyle w:val="Body"/>
      </w:pPr>
      <w:r>
        <w:rPr>
          <w:rFonts w:ascii="Arial" w:hAnsi="Arial"/>
          <w:sz w:val="16"/>
          <w:szCs w:val="16"/>
        </w:rPr>
        <w:t xml:space="preserve">Email: Rick.scott@eog.myflorida.com </w:t>
      </w:r>
    </w:p>
    <w:p w:rsidR="00000864" w:rsidRDefault="002C6C7A">
      <w:pPr>
        <w:pStyle w:val="Body"/>
      </w:pPr>
      <w:r>
        <w:rPr>
          <w:rFonts w:ascii="Arial" w:hAnsi="Arial"/>
          <w:b/>
          <w:bCs/>
          <w:sz w:val="16"/>
          <w:szCs w:val="16"/>
          <w:lang w:val="en-US"/>
        </w:rPr>
        <w:t>Salutation: Dear Governor</w:t>
      </w:r>
    </w:p>
    <w:p w:rsidR="00000864" w:rsidRDefault="002C6C7A">
      <w:pPr>
        <w:pStyle w:val="Body"/>
      </w:pPr>
      <w:r>
        <w:rPr>
          <w:rFonts w:ascii="Arial" w:hAnsi="Arial"/>
          <w:sz w:val="16"/>
          <w:szCs w:val="16"/>
          <w:u w:val="single"/>
          <w:lang w:val="en-US"/>
        </w:rPr>
        <w:t>Office</w:t>
      </w:r>
      <w:r>
        <w:rPr>
          <w:rFonts w:ascii="Arial" w:hAnsi="Arial"/>
          <w:sz w:val="16"/>
          <w:szCs w:val="16"/>
          <w:u w:val="single"/>
          <w:lang w:val="en-US"/>
        </w:rPr>
        <w:t xml:space="preserve"> of Executive Clemency</w:t>
      </w:r>
    </w:p>
    <w:p w:rsidR="00000864" w:rsidRDefault="002C6C7A">
      <w:pPr>
        <w:pStyle w:val="Body"/>
      </w:pPr>
      <w:r>
        <w:rPr>
          <w:rFonts w:ascii="Arial" w:hAnsi="Arial"/>
          <w:sz w:val="16"/>
          <w:szCs w:val="16"/>
          <w:lang w:val="it-IT"/>
        </w:rPr>
        <w:t>Florida Parole Commission, 4070 Esplanade Way</w:t>
      </w:r>
    </w:p>
    <w:p w:rsidR="00000864" w:rsidRDefault="002C6C7A">
      <w:pPr>
        <w:pStyle w:val="Body"/>
      </w:pPr>
      <w:r w:rsidRPr="000D40CB">
        <w:rPr>
          <w:rFonts w:ascii="Arial" w:hAnsi="Arial"/>
          <w:sz w:val="16"/>
          <w:szCs w:val="16"/>
          <w:lang w:val="fr-FR"/>
        </w:rPr>
        <w:t>Tallahassee, FL 32399-2450, USA</w:t>
      </w:r>
    </w:p>
    <w:p w:rsidR="00000864" w:rsidRDefault="002C6C7A">
      <w:pPr>
        <w:pStyle w:val="Body"/>
      </w:pPr>
      <w:r>
        <w:rPr>
          <w:rFonts w:ascii="Arial" w:hAnsi="Arial"/>
          <w:sz w:val="16"/>
          <w:szCs w:val="16"/>
        </w:rPr>
        <w:t xml:space="preserve">Email: ClemencyWeb@fpc.state.fl.us </w:t>
      </w:r>
    </w:p>
    <w:p w:rsidR="00000864" w:rsidRDefault="002C6C7A">
      <w:pPr>
        <w:pStyle w:val="Body"/>
      </w:pPr>
      <w:r>
        <w:rPr>
          <w:rFonts w:ascii="Arial" w:hAnsi="Arial"/>
          <w:sz w:val="16"/>
          <w:szCs w:val="16"/>
          <w:lang w:val="en-US"/>
        </w:rPr>
        <w:t>Fax: +1 850 414-6031 or +1 850 488-0695</w:t>
      </w:r>
    </w:p>
    <w:p w:rsidR="00000864" w:rsidRDefault="002C6C7A">
      <w:pPr>
        <w:pStyle w:val="Body"/>
      </w:pPr>
      <w:bookmarkStart w:id="0" w:name="_GoBack"/>
      <w:bookmarkEnd w:id="0"/>
      <w:r>
        <w:rPr>
          <w:rFonts w:ascii="Arial" w:hAnsi="Arial"/>
          <w:b/>
          <w:bCs/>
          <w:sz w:val="16"/>
          <w:szCs w:val="16"/>
          <w:lang w:val="en-US"/>
        </w:rPr>
        <w:t>Salutation: Dear Members of the Clemency Board</w:t>
      </w:r>
    </w:p>
    <w:p w:rsidR="00000864" w:rsidRDefault="002C6C7A">
      <w:pPr>
        <w:pStyle w:val="Body"/>
      </w:pPr>
      <w:r>
        <w:rPr>
          <w:rFonts w:ascii="Arial" w:hAnsi="Arial"/>
          <w:b/>
          <w:bCs/>
          <w:sz w:val="16"/>
          <w:szCs w:val="16"/>
          <w:lang w:val="en-US"/>
        </w:rPr>
        <w:lastRenderedPageBreak/>
        <w:t xml:space="preserve">Also send copies to diplomatic representatives accredited to your country. </w:t>
      </w:r>
    </w:p>
    <w:p w:rsidR="00000864" w:rsidRDefault="002C6C7A">
      <w:pPr>
        <w:pStyle w:val="Body"/>
      </w:pPr>
      <w:r>
        <w:rPr>
          <w:rFonts w:ascii="Arial" w:hAnsi="Arial"/>
          <w:sz w:val="16"/>
          <w:szCs w:val="16"/>
          <w:lang w:val="en-US"/>
        </w:rPr>
        <w:t>HIS EXCELLENCY THE HONOURABLE MATTHEW BARZUN American Embassy</w:t>
      </w:r>
      <w:r>
        <w:rPr>
          <w:sz w:val="16"/>
          <w:szCs w:val="16"/>
        </w:rPr>
        <w:t>,</w:t>
      </w:r>
      <w:r>
        <w:rPr>
          <w:rFonts w:ascii="Arial" w:hAnsi="Arial"/>
          <w:sz w:val="16"/>
          <w:szCs w:val="16"/>
          <w:lang w:val="en-US"/>
        </w:rPr>
        <w:t xml:space="preserve"> 24 Grosvenor Square, London W1A 6AE, </w:t>
      </w:r>
      <w:proofErr w:type="spellStart"/>
      <w:proofErr w:type="gramStart"/>
      <w:r>
        <w:rPr>
          <w:rFonts w:ascii="Arial" w:hAnsi="Arial"/>
          <w:sz w:val="16"/>
          <w:szCs w:val="16"/>
          <w:lang w:val="en-US"/>
        </w:rPr>
        <w:t>tel</w:t>
      </w:r>
      <w:proofErr w:type="spellEnd"/>
      <w:proofErr w:type="gramEnd"/>
      <w:r>
        <w:rPr>
          <w:rFonts w:ascii="Arial" w:hAnsi="Arial"/>
          <w:sz w:val="16"/>
          <w:szCs w:val="16"/>
          <w:lang w:val="en-US"/>
        </w:rPr>
        <w:t xml:space="preserve">: 020 7499 9000. Salutation: </w:t>
      </w:r>
      <w:proofErr w:type="gramStart"/>
      <w:r>
        <w:rPr>
          <w:rFonts w:ascii="Arial" w:hAnsi="Arial"/>
          <w:sz w:val="16"/>
          <w:szCs w:val="16"/>
          <w:lang w:val="en-US"/>
        </w:rPr>
        <w:t>Your</w:t>
      </w:r>
      <w:proofErr w:type="gramEnd"/>
      <w:r>
        <w:rPr>
          <w:rFonts w:ascii="Arial" w:hAnsi="Arial"/>
          <w:sz w:val="16"/>
          <w:szCs w:val="16"/>
          <w:lang w:val="en-US"/>
        </w:rPr>
        <w:t xml:space="preserve"> Excellency</w:t>
      </w:r>
    </w:p>
    <w:p w:rsidR="00000864" w:rsidRDefault="002C6C7A">
      <w:pPr>
        <w:pStyle w:val="Body"/>
      </w:pPr>
      <w:r>
        <w:rPr>
          <w:rFonts w:ascii="Arial" w:hAnsi="Arial"/>
          <w:sz w:val="16"/>
          <w:szCs w:val="16"/>
          <w:lang w:val="en-US"/>
        </w:rPr>
        <w:t>Please check with your section o</w:t>
      </w:r>
      <w:r>
        <w:rPr>
          <w:rFonts w:ascii="Arial" w:hAnsi="Arial"/>
          <w:sz w:val="16"/>
          <w:szCs w:val="16"/>
          <w:lang w:val="en-US"/>
        </w:rPr>
        <w:t xml:space="preserve">ffice if sending appeals after the above date. </w:t>
      </w:r>
    </w:p>
    <w:p w:rsidR="00000864" w:rsidRDefault="002C6C7A">
      <w:pPr>
        <w:pStyle w:val="Body"/>
      </w:pPr>
      <w:r>
        <w:rPr>
          <w:rFonts w:ascii="Arial Unicode MS" w:hAnsi="Arial Unicode MS"/>
          <w:sz w:val="80"/>
          <w:szCs w:val="80"/>
        </w:rPr>
        <w:br w:type="page"/>
      </w:r>
    </w:p>
    <w:p w:rsidR="00000864" w:rsidRDefault="002C6C7A">
      <w:pPr>
        <w:pStyle w:val="Body"/>
      </w:pPr>
      <w:r>
        <w:rPr>
          <w:rFonts w:ascii="Arial" w:hAnsi="Arial"/>
          <w:b/>
          <w:bCs/>
          <w:sz w:val="80"/>
          <w:szCs w:val="80"/>
        </w:rPr>
        <w:lastRenderedPageBreak/>
        <w:t>URGENT ACTION</w:t>
      </w:r>
    </w:p>
    <w:p w:rsidR="00000864" w:rsidRDefault="002C6C7A">
      <w:pPr>
        <w:pStyle w:val="Body"/>
      </w:pPr>
      <w:r>
        <w:rPr>
          <w:rFonts w:ascii="Arial" w:hAnsi="Arial"/>
          <w:spacing w:val="-2"/>
          <w:sz w:val="38"/>
          <w:szCs w:val="38"/>
          <w:lang w:val="en-US"/>
        </w:rPr>
        <w:t xml:space="preserve">Clemency denied, execution set in </w:t>
      </w:r>
      <w:proofErr w:type="spellStart"/>
      <w:proofErr w:type="gramStart"/>
      <w:r>
        <w:rPr>
          <w:rFonts w:ascii="Arial" w:hAnsi="Arial"/>
          <w:spacing w:val="-2"/>
          <w:sz w:val="38"/>
          <w:szCs w:val="38"/>
          <w:lang w:val="en-US"/>
        </w:rPr>
        <w:t>florida</w:t>
      </w:r>
      <w:proofErr w:type="spellEnd"/>
      <w:proofErr w:type="gramEnd"/>
    </w:p>
    <w:p w:rsidR="00000864" w:rsidRDefault="002C6C7A">
      <w:pPr>
        <w:pStyle w:val="Body"/>
        <w:spacing w:before="600" w:after="240"/>
      </w:pPr>
      <w:proofErr w:type="spellStart"/>
      <w:r>
        <w:rPr>
          <w:rFonts w:ascii="Arial" w:hAnsi="Arial"/>
          <w:b/>
          <w:bCs/>
          <w:sz w:val="28"/>
          <w:szCs w:val="28"/>
          <w:lang w:val="en-US"/>
        </w:rPr>
        <w:t>ADditional</w:t>
      </w:r>
      <w:proofErr w:type="spellEnd"/>
      <w:r>
        <w:rPr>
          <w:rFonts w:ascii="Arial" w:hAnsi="Arial"/>
          <w:b/>
          <w:bCs/>
          <w:sz w:val="28"/>
          <w:szCs w:val="28"/>
          <w:lang w:val="en-US"/>
        </w:rPr>
        <w:t xml:space="preserve"> Information</w:t>
      </w:r>
    </w:p>
    <w:p w:rsidR="00000864" w:rsidRDefault="002C6C7A">
      <w:pPr>
        <w:pStyle w:val="Body"/>
      </w:pPr>
      <w:r>
        <w:rPr>
          <w:rFonts w:ascii="Arial" w:hAnsi="Arial"/>
          <w:sz w:val="18"/>
          <w:szCs w:val="18"/>
          <w:lang w:val="en-US"/>
        </w:rPr>
        <w:t>Executive clemency has not been granted in a Florida capital case since 1983, a period which has seen more than 90 executions i</w:t>
      </w:r>
      <w:r>
        <w:rPr>
          <w:rFonts w:ascii="Arial" w:hAnsi="Arial"/>
          <w:sz w:val="18"/>
          <w:szCs w:val="18"/>
          <w:lang w:val="en-US"/>
        </w:rPr>
        <w:t>n the state. In its assessment of Florida</w:t>
      </w:r>
      <w:r>
        <w:rPr>
          <w:rFonts w:ascii="Arial" w:hAnsi="Arial"/>
          <w:sz w:val="18"/>
          <w:szCs w:val="18"/>
          <w:lang w:val="en-US"/>
        </w:rPr>
        <w:t>’</w:t>
      </w:r>
      <w:r>
        <w:rPr>
          <w:rFonts w:ascii="Arial" w:hAnsi="Arial"/>
          <w:sz w:val="18"/>
          <w:szCs w:val="18"/>
          <w:lang w:val="en-US"/>
        </w:rPr>
        <w:t xml:space="preserve">s death penalty system published in 2006, the American Bar Association (ABA) concluded that the lack of transparency surrounding the clemency process meant that it was impossible to determine the extent to which </w:t>
      </w:r>
      <w:r>
        <w:rPr>
          <w:rFonts w:ascii="Arial" w:hAnsi="Arial"/>
          <w:sz w:val="18"/>
          <w:szCs w:val="18"/>
          <w:lang w:val="en-US"/>
        </w:rPr>
        <w:t>“</w:t>
      </w:r>
      <w:r>
        <w:rPr>
          <w:rFonts w:ascii="Arial" w:hAnsi="Arial"/>
          <w:sz w:val="18"/>
          <w:szCs w:val="18"/>
          <w:lang w:val="it-IT"/>
        </w:rPr>
        <w:t>inappropriate political considerations</w:t>
      </w:r>
      <w:r>
        <w:rPr>
          <w:rFonts w:ascii="Arial" w:hAnsi="Arial"/>
          <w:sz w:val="18"/>
          <w:szCs w:val="18"/>
          <w:lang w:val="en-US"/>
        </w:rPr>
        <w:t xml:space="preserve">” </w:t>
      </w:r>
      <w:r>
        <w:rPr>
          <w:rFonts w:ascii="Arial" w:hAnsi="Arial"/>
          <w:sz w:val="18"/>
          <w:szCs w:val="18"/>
          <w:lang w:val="en-US"/>
        </w:rPr>
        <w:t xml:space="preserve">impacted that process. </w:t>
      </w:r>
    </w:p>
    <w:p w:rsidR="00000864" w:rsidRDefault="00000864">
      <w:pPr>
        <w:pStyle w:val="Body"/>
      </w:pPr>
    </w:p>
    <w:p w:rsidR="00000864" w:rsidRDefault="002C6C7A">
      <w:pPr>
        <w:pStyle w:val="Body"/>
      </w:pPr>
      <w:r>
        <w:rPr>
          <w:rFonts w:ascii="Arial" w:hAnsi="Arial"/>
          <w:sz w:val="18"/>
          <w:szCs w:val="18"/>
          <w:lang w:val="en-US"/>
        </w:rPr>
        <w:t>Under the state constitution, the Florida governor can grant reprieve from execution of up to 60 days, but can commute a death sentence only with the approval of two members of the Board of E</w:t>
      </w:r>
      <w:r>
        <w:rPr>
          <w:rFonts w:ascii="Arial" w:hAnsi="Arial"/>
          <w:sz w:val="18"/>
          <w:szCs w:val="18"/>
          <w:lang w:val="en-US"/>
        </w:rPr>
        <w:t>xecutive Clemency. The Board is comprised of the Governor and members of the Cabinet. The latter consists of three elected officials, the Attorney General (the official ultimately responsible for defending death sentences in the courts), the Commissioner o</w:t>
      </w:r>
      <w:r>
        <w:rPr>
          <w:rFonts w:ascii="Arial" w:hAnsi="Arial"/>
          <w:sz w:val="18"/>
          <w:szCs w:val="18"/>
          <w:lang w:val="en-US"/>
        </w:rPr>
        <w:t>f Agriculture and Consumer Services and the Chief Financial Officer. The Governor can deny clemency for any reason, regardless of the Board</w:t>
      </w:r>
      <w:r>
        <w:rPr>
          <w:rFonts w:ascii="Arial" w:hAnsi="Arial"/>
          <w:sz w:val="18"/>
          <w:szCs w:val="18"/>
          <w:lang w:val="en-US"/>
        </w:rPr>
        <w:t>’</w:t>
      </w:r>
      <w:r>
        <w:rPr>
          <w:rFonts w:ascii="Arial" w:hAnsi="Arial"/>
          <w:sz w:val="18"/>
          <w:szCs w:val="18"/>
          <w:lang w:val="en-US"/>
        </w:rPr>
        <w:t xml:space="preserve">s vote on the matter. Indeed, </w:t>
      </w:r>
      <w:r>
        <w:rPr>
          <w:rFonts w:ascii="Arial" w:hAnsi="Arial"/>
          <w:sz w:val="18"/>
          <w:szCs w:val="18"/>
          <w:lang w:val="en-US"/>
        </w:rPr>
        <w:t>“</w:t>
      </w:r>
      <w:r>
        <w:rPr>
          <w:rFonts w:ascii="Arial" w:hAnsi="Arial"/>
          <w:sz w:val="18"/>
          <w:szCs w:val="18"/>
          <w:lang w:val="en-US"/>
        </w:rPr>
        <w:t>the Governor has the unfettered discretion to deny clemency at any time, for any reas</w:t>
      </w:r>
      <w:r>
        <w:rPr>
          <w:rFonts w:ascii="Arial" w:hAnsi="Arial"/>
          <w:sz w:val="18"/>
          <w:szCs w:val="18"/>
          <w:lang w:val="en-US"/>
        </w:rPr>
        <w:t>on</w:t>
      </w:r>
      <w:r>
        <w:rPr>
          <w:rFonts w:ascii="Arial" w:hAnsi="Arial"/>
          <w:sz w:val="18"/>
          <w:szCs w:val="18"/>
          <w:lang w:val="en-US"/>
        </w:rPr>
        <w:t>”</w:t>
      </w:r>
      <w:r>
        <w:rPr>
          <w:rFonts w:ascii="Arial" w:hAnsi="Arial"/>
          <w:sz w:val="18"/>
          <w:szCs w:val="18"/>
          <w:lang w:val="en-US"/>
        </w:rPr>
        <w:t xml:space="preserve">.  The Florida Commission on Offender Review, consisting of three commissioners appointed by the Governor and the Cabinet, operates as the administrative and investigative arm of the clemency board. The Commission </w:t>
      </w:r>
      <w:r>
        <w:rPr>
          <w:rFonts w:ascii="Arial" w:hAnsi="Arial"/>
          <w:sz w:val="18"/>
          <w:szCs w:val="18"/>
          <w:lang w:val="en-US"/>
        </w:rPr>
        <w:t>“</w:t>
      </w:r>
      <w:r>
        <w:rPr>
          <w:rFonts w:ascii="Arial" w:hAnsi="Arial"/>
          <w:sz w:val="18"/>
          <w:szCs w:val="18"/>
          <w:lang w:val="en-US"/>
        </w:rPr>
        <w:t>may conduct a thorough and detailed in</w:t>
      </w:r>
      <w:r>
        <w:rPr>
          <w:rFonts w:ascii="Arial" w:hAnsi="Arial"/>
          <w:sz w:val="18"/>
          <w:szCs w:val="18"/>
          <w:lang w:val="en-US"/>
        </w:rPr>
        <w:t>vestigation into all factors relevant to the issue of clemency and provide a final report to the Clemency Board</w:t>
      </w:r>
      <w:r>
        <w:rPr>
          <w:rFonts w:ascii="Arial" w:hAnsi="Arial"/>
          <w:sz w:val="18"/>
          <w:szCs w:val="18"/>
          <w:lang w:val="en-US"/>
        </w:rPr>
        <w:t>”</w:t>
      </w:r>
      <w:r>
        <w:rPr>
          <w:rFonts w:ascii="Arial" w:hAnsi="Arial"/>
          <w:sz w:val="18"/>
          <w:szCs w:val="18"/>
          <w:lang w:val="en-US"/>
        </w:rPr>
        <w:t xml:space="preserve">. The investigation </w:t>
      </w:r>
      <w:r>
        <w:rPr>
          <w:rFonts w:ascii="Arial" w:hAnsi="Arial"/>
          <w:sz w:val="18"/>
          <w:szCs w:val="18"/>
          <w:lang w:val="en-US"/>
        </w:rPr>
        <w:t>“</w:t>
      </w:r>
      <w:r>
        <w:rPr>
          <w:rFonts w:ascii="Arial" w:hAnsi="Arial"/>
          <w:sz w:val="18"/>
          <w:szCs w:val="18"/>
          <w:lang w:val="en-US"/>
        </w:rPr>
        <w:t>shall include</w:t>
      </w:r>
      <w:r>
        <w:rPr>
          <w:rFonts w:ascii="Arial" w:hAnsi="Arial"/>
          <w:sz w:val="18"/>
          <w:szCs w:val="18"/>
          <w:lang w:val="en-US"/>
        </w:rPr>
        <w:t xml:space="preserve">” </w:t>
      </w:r>
      <w:r>
        <w:rPr>
          <w:rFonts w:ascii="Arial" w:hAnsi="Arial"/>
          <w:sz w:val="18"/>
          <w:szCs w:val="18"/>
          <w:lang w:val="en-US"/>
        </w:rPr>
        <w:t xml:space="preserve">an interview with the condemned prisoner and, where possible, his or her family, the prosecution and </w:t>
      </w:r>
      <w:proofErr w:type="spellStart"/>
      <w:r>
        <w:rPr>
          <w:rFonts w:ascii="Arial" w:hAnsi="Arial"/>
          <w:sz w:val="18"/>
          <w:szCs w:val="18"/>
          <w:lang w:val="en-US"/>
        </w:rPr>
        <w:t>defence</w:t>
      </w:r>
      <w:proofErr w:type="spellEnd"/>
      <w:r>
        <w:rPr>
          <w:rFonts w:ascii="Arial" w:hAnsi="Arial"/>
          <w:sz w:val="18"/>
          <w:szCs w:val="18"/>
          <w:lang w:val="en-US"/>
        </w:rPr>
        <w:t xml:space="preserve"> lawyers from the trial, and the trial judge.  </w:t>
      </w:r>
    </w:p>
    <w:p w:rsidR="00000864" w:rsidRDefault="00000864">
      <w:pPr>
        <w:pStyle w:val="Body"/>
      </w:pPr>
    </w:p>
    <w:p w:rsidR="00000864" w:rsidRDefault="002C6C7A">
      <w:pPr>
        <w:pStyle w:val="Body"/>
      </w:pPr>
      <w:r>
        <w:rPr>
          <w:rFonts w:ascii="Arial" w:hAnsi="Arial"/>
          <w:sz w:val="18"/>
          <w:szCs w:val="18"/>
          <w:lang w:val="en-US"/>
        </w:rPr>
        <w:t xml:space="preserve">In his letter to the Commission on Offender Review and the Executive Clemency Board, Michael </w:t>
      </w:r>
      <w:proofErr w:type="spellStart"/>
      <w:r>
        <w:rPr>
          <w:rFonts w:ascii="Arial" w:hAnsi="Arial"/>
          <w:sz w:val="18"/>
          <w:szCs w:val="18"/>
          <w:lang w:val="en-US"/>
        </w:rPr>
        <w:t>Lambrix</w:t>
      </w:r>
      <w:r>
        <w:rPr>
          <w:rFonts w:ascii="Arial" w:hAnsi="Arial"/>
          <w:sz w:val="18"/>
          <w:szCs w:val="18"/>
          <w:lang w:val="en-US"/>
        </w:rPr>
        <w:t>’</w:t>
      </w:r>
      <w:r>
        <w:rPr>
          <w:rFonts w:ascii="Arial" w:hAnsi="Arial"/>
          <w:sz w:val="18"/>
          <w:szCs w:val="18"/>
          <w:lang w:val="en-US"/>
        </w:rPr>
        <w:t>s</w:t>
      </w:r>
      <w:proofErr w:type="spellEnd"/>
      <w:r>
        <w:rPr>
          <w:rFonts w:ascii="Arial" w:hAnsi="Arial"/>
          <w:sz w:val="18"/>
          <w:szCs w:val="18"/>
          <w:lang w:val="en-US"/>
        </w:rPr>
        <w:t xml:space="preserve"> lawyer submits that his client has received neither a </w:t>
      </w:r>
      <w:r>
        <w:rPr>
          <w:rFonts w:ascii="Arial" w:hAnsi="Arial"/>
          <w:sz w:val="18"/>
          <w:szCs w:val="18"/>
          <w:lang w:val="en-US"/>
        </w:rPr>
        <w:t>“</w:t>
      </w:r>
      <w:r>
        <w:rPr>
          <w:rFonts w:ascii="Arial" w:hAnsi="Arial"/>
          <w:sz w:val="18"/>
          <w:szCs w:val="18"/>
          <w:lang w:val="en-US"/>
        </w:rPr>
        <w:t>meaningful clemency interview</w:t>
      </w:r>
      <w:r>
        <w:rPr>
          <w:rFonts w:ascii="Arial" w:hAnsi="Arial"/>
          <w:sz w:val="18"/>
          <w:szCs w:val="18"/>
          <w:lang w:val="en-US"/>
        </w:rPr>
        <w:t xml:space="preserve">” </w:t>
      </w:r>
      <w:r>
        <w:rPr>
          <w:rFonts w:ascii="Arial" w:hAnsi="Arial"/>
          <w:sz w:val="18"/>
          <w:szCs w:val="18"/>
          <w:lang w:val="en-US"/>
        </w:rPr>
        <w:t xml:space="preserve">nor a </w:t>
      </w:r>
      <w:r>
        <w:rPr>
          <w:rFonts w:ascii="Arial" w:hAnsi="Arial"/>
          <w:sz w:val="18"/>
          <w:szCs w:val="18"/>
          <w:lang w:val="en-US"/>
        </w:rPr>
        <w:t>“</w:t>
      </w:r>
      <w:r>
        <w:rPr>
          <w:rFonts w:ascii="Arial" w:hAnsi="Arial"/>
          <w:sz w:val="18"/>
          <w:szCs w:val="18"/>
          <w:lang w:val="en-US"/>
        </w:rPr>
        <w:t xml:space="preserve">meaningful </w:t>
      </w:r>
      <w:r>
        <w:rPr>
          <w:rFonts w:ascii="Arial" w:hAnsi="Arial"/>
          <w:sz w:val="18"/>
          <w:szCs w:val="18"/>
          <w:lang w:val="en-US"/>
        </w:rPr>
        <w:t>clemency hearing</w:t>
      </w:r>
      <w:r>
        <w:rPr>
          <w:rFonts w:ascii="Arial" w:hAnsi="Arial"/>
          <w:sz w:val="18"/>
          <w:szCs w:val="18"/>
          <w:lang w:val="en-US"/>
        </w:rPr>
        <w:t>”</w:t>
      </w:r>
      <w:r>
        <w:rPr>
          <w:rFonts w:ascii="Arial" w:hAnsi="Arial"/>
          <w:sz w:val="18"/>
          <w:szCs w:val="18"/>
          <w:lang w:val="en-US"/>
        </w:rPr>
        <w:t xml:space="preserve">. He calls on Governor Scott to set aside the death warrant he signed in Michael </w:t>
      </w:r>
      <w:proofErr w:type="spellStart"/>
      <w:r>
        <w:rPr>
          <w:rFonts w:ascii="Arial" w:hAnsi="Arial"/>
          <w:sz w:val="18"/>
          <w:szCs w:val="18"/>
          <w:lang w:val="en-US"/>
        </w:rPr>
        <w:t>Lambrix</w:t>
      </w:r>
      <w:r>
        <w:rPr>
          <w:rFonts w:ascii="Arial" w:hAnsi="Arial"/>
          <w:sz w:val="18"/>
          <w:szCs w:val="18"/>
          <w:lang w:val="en-US"/>
        </w:rPr>
        <w:t>’</w:t>
      </w:r>
      <w:r>
        <w:rPr>
          <w:rFonts w:ascii="Arial" w:hAnsi="Arial"/>
          <w:sz w:val="18"/>
          <w:szCs w:val="18"/>
          <w:lang w:val="en-US"/>
        </w:rPr>
        <w:t>s</w:t>
      </w:r>
      <w:proofErr w:type="spellEnd"/>
      <w:r>
        <w:rPr>
          <w:rFonts w:ascii="Arial" w:hAnsi="Arial"/>
          <w:sz w:val="18"/>
          <w:szCs w:val="18"/>
          <w:lang w:val="en-US"/>
        </w:rPr>
        <w:t xml:space="preserve"> case so that such a clemency process can be conducted.</w:t>
      </w:r>
    </w:p>
    <w:p w:rsidR="00000864" w:rsidRDefault="00000864">
      <w:pPr>
        <w:pStyle w:val="Body"/>
      </w:pPr>
    </w:p>
    <w:p w:rsidR="00000864" w:rsidRDefault="002C6C7A">
      <w:pPr>
        <w:pStyle w:val="Body"/>
      </w:pPr>
      <w:r>
        <w:rPr>
          <w:rFonts w:ascii="Arial" w:hAnsi="Arial"/>
          <w:sz w:val="18"/>
          <w:szCs w:val="18"/>
          <w:lang w:val="en-US"/>
        </w:rPr>
        <w:t xml:space="preserve">On 12 January 2016, in </w:t>
      </w:r>
      <w:r>
        <w:rPr>
          <w:rFonts w:ascii="Arial" w:hAnsi="Arial"/>
          <w:i/>
          <w:iCs/>
          <w:sz w:val="18"/>
          <w:szCs w:val="18"/>
          <w:lang w:val="pt-PT"/>
        </w:rPr>
        <w:t>Hurst v. Florida</w:t>
      </w:r>
      <w:r>
        <w:rPr>
          <w:rFonts w:ascii="Arial" w:hAnsi="Arial"/>
          <w:sz w:val="18"/>
          <w:szCs w:val="18"/>
          <w:lang w:val="en-US"/>
        </w:rPr>
        <w:t>, the US Supreme Court ruled Florida</w:t>
      </w:r>
      <w:r>
        <w:rPr>
          <w:rFonts w:ascii="Arial" w:hAnsi="Arial"/>
          <w:sz w:val="18"/>
          <w:szCs w:val="18"/>
          <w:lang w:val="en-US"/>
        </w:rPr>
        <w:t>’</w:t>
      </w:r>
      <w:r>
        <w:rPr>
          <w:rFonts w:ascii="Arial" w:hAnsi="Arial"/>
          <w:sz w:val="18"/>
          <w:szCs w:val="18"/>
          <w:lang w:val="en-US"/>
        </w:rPr>
        <w:t>s capital senten</w:t>
      </w:r>
      <w:r>
        <w:rPr>
          <w:rFonts w:ascii="Arial" w:hAnsi="Arial"/>
          <w:sz w:val="18"/>
          <w:szCs w:val="18"/>
          <w:lang w:val="en-US"/>
        </w:rPr>
        <w:t>cing scheme unconstitutional because it gives juries only an advisory role in sentencing and leaves the final decision to judges. This, it said, was incompatible with the Court</w:t>
      </w:r>
      <w:r>
        <w:rPr>
          <w:rFonts w:ascii="Arial" w:hAnsi="Arial"/>
          <w:sz w:val="18"/>
          <w:szCs w:val="18"/>
          <w:lang w:val="en-US"/>
        </w:rPr>
        <w:t>’</w:t>
      </w:r>
      <w:r>
        <w:rPr>
          <w:rFonts w:ascii="Arial" w:hAnsi="Arial"/>
          <w:sz w:val="18"/>
          <w:szCs w:val="18"/>
        </w:rPr>
        <w:t xml:space="preserve">s 2002 </w:t>
      </w:r>
      <w:r>
        <w:rPr>
          <w:rFonts w:ascii="Arial" w:hAnsi="Arial"/>
          <w:i/>
          <w:iCs/>
          <w:sz w:val="18"/>
          <w:szCs w:val="18"/>
        </w:rPr>
        <w:t>Ring v. Arizona</w:t>
      </w:r>
      <w:r>
        <w:rPr>
          <w:rFonts w:ascii="Arial" w:hAnsi="Arial"/>
          <w:sz w:val="18"/>
          <w:szCs w:val="18"/>
          <w:lang w:val="en-US"/>
        </w:rPr>
        <w:t xml:space="preserve"> decision that the US Constitution requires juries, rathe</w:t>
      </w:r>
      <w:r>
        <w:rPr>
          <w:rFonts w:ascii="Arial" w:hAnsi="Arial"/>
          <w:sz w:val="18"/>
          <w:szCs w:val="18"/>
          <w:lang w:val="en-US"/>
        </w:rPr>
        <w:t>r than judges, to make the factual findings necessary to sentence a defendant to death. How many of the inmates currently on Florida</w:t>
      </w:r>
      <w:r>
        <w:rPr>
          <w:rFonts w:ascii="Arial" w:hAnsi="Arial"/>
          <w:sz w:val="18"/>
          <w:szCs w:val="18"/>
          <w:lang w:val="en-US"/>
        </w:rPr>
        <w:t>’</w:t>
      </w:r>
      <w:r>
        <w:rPr>
          <w:rFonts w:ascii="Arial" w:hAnsi="Arial"/>
          <w:sz w:val="18"/>
          <w:szCs w:val="18"/>
          <w:lang w:val="en-US"/>
        </w:rPr>
        <w:t xml:space="preserve">s death row will be impacted by the </w:t>
      </w:r>
      <w:r>
        <w:rPr>
          <w:rFonts w:ascii="Arial" w:hAnsi="Arial"/>
          <w:i/>
          <w:iCs/>
          <w:sz w:val="18"/>
          <w:szCs w:val="18"/>
          <w:lang w:val="sv-SE"/>
        </w:rPr>
        <w:t>Hurst</w:t>
      </w:r>
      <w:r>
        <w:rPr>
          <w:rFonts w:ascii="Arial" w:hAnsi="Arial"/>
          <w:sz w:val="18"/>
          <w:szCs w:val="18"/>
          <w:lang w:val="en-US"/>
        </w:rPr>
        <w:t xml:space="preserve"> ruling, and how the Florida executive and legislative authorities will respond, r</w:t>
      </w:r>
      <w:r>
        <w:rPr>
          <w:rFonts w:ascii="Arial" w:hAnsi="Arial"/>
          <w:sz w:val="18"/>
          <w:szCs w:val="18"/>
          <w:lang w:val="en-US"/>
        </w:rPr>
        <w:t xml:space="preserve">emains to be seen. The </w:t>
      </w:r>
      <w:r>
        <w:rPr>
          <w:rFonts w:ascii="Arial" w:hAnsi="Arial"/>
          <w:i/>
          <w:iCs/>
          <w:sz w:val="18"/>
          <w:szCs w:val="18"/>
          <w:lang w:val="sv-SE"/>
        </w:rPr>
        <w:t>Hurst</w:t>
      </w:r>
      <w:r>
        <w:rPr>
          <w:rFonts w:ascii="Arial" w:hAnsi="Arial"/>
          <w:sz w:val="18"/>
          <w:szCs w:val="18"/>
          <w:lang w:val="en-US"/>
        </w:rPr>
        <w:t xml:space="preserve"> ruling did not specifically address whether a jury has to be unanimous in its death sentencing decision.  Under Florida</w:t>
      </w:r>
      <w:r>
        <w:rPr>
          <w:rFonts w:ascii="Arial" w:hAnsi="Arial"/>
          <w:sz w:val="18"/>
          <w:szCs w:val="18"/>
          <w:lang w:val="en-US"/>
        </w:rPr>
        <w:t>’</w:t>
      </w:r>
      <w:r>
        <w:rPr>
          <w:rFonts w:ascii="Arial" w:hAnsi="Arial"/>
          <w:sz w:val="18"/>
          <w:szCs w:val="18"/>
          <w:lang w:val="en-US"/>
        </w:rPr>
        <w:t xml:space="preserve">s law, as shown in Michael </w:t>
      </w:r>
      <w:proofErr w:type="spellStart"/>
      <w:r>
        <w:rPr>
          <w:rFonts w:ascii="Arial" w:hAnsi="Arial"/>
          <w:sz w:val="18"/>
          <w:szCs w:val="18"/>
          <w:lang w:val="en-US"/>
        </w:rPr>
        <w:t>Lambrix</w:t>
      </w:r>
      <w:r>
        <w:rPr>
          <w:rFonts w:ascii="Arial" w:hAnsi="Arial"/>
          <w:sz w:val="18"/>
          <w:szCs w:val="18"/>
          <w:lang w:val="en-US"/>
        </w:rPr>
        <w:t>’</w:t>
      </w:r>
      <w:r>
        <w:rPr>
          <w:rFonts w:ascii="Arial" w:hAnsi="Arial"/>
          <w:sz w:val="18"/>
          <w:szCs w:val="18"/>
          <w:lang w:val="en-US"/>
        </w:rPr>
        <w:t>s</w:t>
      </w:r>
      <w:proofErr w:type="spellEnd"/>
      <w:r>
        <w:rPr>
          <w:rFonts w:ascii="Arial" w:hAnsi="Arial"/>
          <w:sz w:val="18"/>
          <w:szCs w:val="18"/>
          <w:lang w:val="en-US"/>
        </w:rPr>
        <w:t xml:space="preserve"> case, a jury</w:t>
      </w:r>
      <w:r>
        <w:rPr>
          <w:rFonts w:ascii="Arial" w:hAnsi="Arial"/>
          <w:sz w:val="18"/>
          <w:szCs w:val="18"/>
          <w:lang w:val="en-US"/>
        </w:rPr>
        <w:t>’</w:t>
      </w:r>
      <w:r>
        <w:rPr>
          <w:rFonts w:ascii="Arial" w:hAnsi="Arial"/>
          <w:sz w:val="18"/>
          <w:szCs w:val="18"/>
          <w:lang w:val="en-US"/>
        </w:rPr>
        <w:t>s sentencing recommendation (to which the judge is oblige</w:t>
      </w:r>
      <w:r>
        <w:rPr>
          <w:rFonts w:ascii="Arial" w:hAnsi="Arial"/>
          <w:sz w:val="18"/>
          <w:szCs w:val="18"/>
          <w:lang w:val="en-US"/>
        </w:rPr>
        <w:t xml:space="preserve">d to give </w:t>
      </w:r>
      <w:r>
        <w:rPr>
          <w:rFonts w:ascii="Arial" w:hAnsi="Arial"/>
          <w:sz w:val="18"/>
          <w:szCs w:val="18"/>
          <w:lang w:val="en-US"/>
        </w:rPr>
        <w:t>“</w:t>
      </w:r>
      <w:r>
        <w:rPr>
          <w:rFonts w:ascii="Arial" w:hAnsi="Arial"/>
          <w:sz w:val="18"/>
          <w:szCs w:val="18"/>
          <w:lang w:val="en-US"/>
        </w:rPr>
        <w:t>great weight</w:t>
      </w:r>
      <w:r>
        <w:rPr>
          <w:rFonts w:ascii="Arial" w:hAnsi="Arial"/>
          <w:sz w:val="18"/>
          <w:szCs w:val="18"/>
          <w:lang w:val="en-US"/>
        </w:rPr>
        <w:t>”</w:t>
      </w:r>
      <w:r>
        <w:rPr>
          <w:rFonts w:ascii="Arial" w:hAnsi="Arial"/>
          <w:sz w:val="18"/>
          <w:szCs w:val="18"/>
          <w:lang w:val="en-US"/>
        </w:rPr>
        <w:t>) does not have to be unanimous, and indeed a vote for death can be passed on a bare seven to five majority vote. Between 2000 and 2012, only about one in five Florida death sentences were handed down on unanimous recommendations. O</w:t>
      </w:r>
      <w:r>
        <w:rPr>
          <w:rFonts w:ascii="Arial" w:hAnsi="Arial"/>
          <w:sz w:val="18"/>
          <w:szCs w:val="18"/>
          <w:lang w:val="en-US"/>
        </w:rPr>
        <w:t xml:space="preserve">nly about a quarter of the prisoners sentenced to death since 2012 were sent there after unanimous jury votes for the death penalty. In most death penalty jurisdictions, the jury must be unanimous </w:t>
      </w:r>
      <w:r>
        <w:rPr>
          <w:rFonts w:ascii="Arial" w:hAnsi="Arial"/>
          <w:sz w:val="18"/>
          <w:szCs w:val="18"/>
          <w:lang w:val="en-US"/>
        </w:rPr>
        <w:t xml:space="preserve">– </w:t>
      </w:r>
      <w:r>
        <w:rPr>
          <w:rFonts w:ascii="Arial" w:hAnsi="Arial"/>
          <w:sz w:val="18"/>
          <w:szCs w:val="18"/>
          <w:lang w:val="en-US"/>
        </w:rPr>
        <w:t>a single juror voting for life will mean life imprisonmen</w:t>
      </w:r>
      <w:r>
        <w:rPr>
          <w:rFonts w:ascii="Arial" w:hAnsi="Arial"/>
          <w:sz w:val="18"/>
          <w:szCs w:val="18"/>
          <w:lang w:val="en-US"/>
        </w:rPr>
        <w:t xml:space="preserve">t. This issue will now be the subject of litigation in Florida, including in the </w:t>
      </w:r>
      <w:r>
        <w:rPr>
          <w:rFonts w:ascii="Arial" w:hAnsi="Arial"/>
          <w:i/>
          <w:iCs/>
          <w:sz w:val="18"/>
          <w:szCs w:val="18"/>
          <w:lang w:val="sv-SE"/>
        </w:rPr>
        <w:t>Hurst</w:t>
      </w:r>
      <w:r>
        <w:rPr>
          <w:rFonts w:ascii="Arial" w:hAnsi="Arial"/>
          <w:sz w:val="18"/>
          <w:szCs w:val="18"/>
          <w:lang w:val="en-US"/>
        </w:rPr>
        <w:t xml:space="preserve"> case itself, remanded by the US Supreme Court to state court </w:t>
      </w:r>
      <w:r>
        <w:rPr>
          <w:rFonts w:ascii="Arial" w:hAnsi="Arial"/>
          <w:sz w:val="18"/>
          <w:szCs w:val="18"/>
          <w:lang w:val="en-US"/>
        </w:rPr>
        <w:t>“</w:t>
      </w:r>
      <w:r>
        <w:rPr>
          <w:rFonts w:ascii="Arial" w:hAnsi="Arial"/>
          <w:sz w:val="18"/>
          <w:szCs w:val="18"/>
          <w:lang w:val="en-US"/>
        </w:rPr>
        <w:t>for proceedings not inconsistent</w:t>
      </w:r>
      <w:r>
        <w:rPr>
          <w:rFonts w:ascii="Arial" w:hAnsi="Arial"/>
          <w:sz w:val="18"/>
          <w:szCs w:val="18"/>
          <w:lang w:val="en-US"/>
        </w:rPr>
        <w:t xml:space="preserve">” </w:t>
      </w:r>
      <w:r>
        <w:rPr>
          <w:rFonts w:ascii="Arial" w:hAnsi="Arial"/>
          <w:sz w:val="18"/>
          <w:szCs w:val="18"/>
          <w:lang w:val="en-US"/>
        </w:rPr>
        <w:t xml:space="preserve">with the </w:t>
      </w:r>
      <w:r>
        <w:rPr>
          <w:rFonts w:ascii="Arial" w:hAnsi="Arial"/>
          <w:i/>
          <w:iCs/>
          <w:sz w:val="18"/>
          <w:szCs w:val="18"/>
          <w:lang w:val="sv-SE"/>
        </w:rPr>
        <w:t>Hurst</w:t>
      </w:r>
      <w:r>
        <w:rPr>
          <w:rFonts w:ascii="Arial" w:hAnsi="Arial"/>
          <w:sz w:val="18"/>
          <w:szCs w:val="18"/>
          <w:lang w:val="en-US"/>
        </w:rPr>
        <w:t xml:space="preserve"> ruling. Timothy Hurst was sentenced to death in 2012 by the trial judge following the jury</w:t>
      </w:r>
      <w:r>
        <w:rPr>
          <w:rFonts w:ascii="Arial" w:hAnsi="Arial"/>
          <w:sz w:val="18"/>
          <w:szCs w:val="18"/>
          <w:lang w:val="en-US"/>
        </w:rPr>
        <w:t>’</w:t>
      </w:r>
      <w:r>
        <w:rPr>
          <w:rFonts w:ascii="Arial" w:hAnsi="Arial"/>
          <w:sz w:val="18"/>
          <w:szCs w:val="18"/>
          <w:lang w:val="en-US"/>
        </w:rPr>
        <w:t>s seven to five recommendation for the death penalty.</w:t>
      </w:r>
    </w:p>
    <w:p w:rsidR="00000864" w:rsidRDefault="00000864">
      <w:pPr>
        <w:pStyle w:val="Body"/>
      </w:pPr>
    </w:p>
    <w:p w:rsidR="00000864" w:rsidRDefault="002C6C7A">
      <w:pPr>
        <w:pStyle w:val="Body"/>
      </w:pPr>
      <w:r>
        <w:rPr>
          <w:rFonts w:ascii="Arial" w:hAnsi="Arial"/>
          <w:sz w:val="18"/>
          <w:szCs w:val="18"/>
          <w:lang w:val="en-US"/>
        </w:rPr>
        <w:t>There have been 1,423 executions in the USA since 1976, 92 of them in Florida, which also accounts for the on</w:t>
      </w:r>
      <w:r>
        <w:rPr>
          <w:rFonts w:ascii="Arial" w:hAnsi="Arial"/>
          <w:sz w:val="18"/>
          <w:szCs w:val="18"/>
          <w:lang w:val="en-US"/>
        </w:rPr>
        <w:t xml:space="preserve">ly execution so far conducted in 2016. Amnesty International opposes the death penalty in all cases, unconditionally. </w:t>
      </w:r>
    </w:p>
    <w:p w:rsidR="00000864" w:rsidRDefault="00000864">
      <w:pPr>
        <w:pStyle w:val="Body"/>
      </w:pPr>
    </w:p>
    <w:p w:rsidR="00000864" w:rsidRDefault="002C6C7A">
      <w:pPr>
        <w:pStyle w:val="Body"/>
      </w:pPr>
      <w:r>
        <w:rPr>
          <w:rFonts w:ascii="Arial" w:hAnsi="Arial"/>
          <w:sz w:val="18"/>
          <w:szCs w:val="18"/>
          <w:lang w:val="en-US"/>
        </w:rPr>
        <w:t xml:space="preserve">See also: http://www.save-innocents.com/save-michael-lambrix.html </w:t>
      </w:r>
    </w:p>
    <w:p w:rsidR="00000864" w:rsidRDefault="00000864">
      <w:pPr>
        <w:pStyle w:val="Body"/>
      </w:pPr>
    </w:p>
    <w:p w:rsidR="00000864" w:rsidRDefault="002C6C7A">
      <w:pPr>
        <w:pStyle w:val="Body"/>
      </w:pPr>
      <w:r>
        <w:rPr>
          <w:rFonts w:ascii="Arial" w:hAnsi="Arial"/>
          <w:sz w:val="16"/>
          <w:szCs w:val="16"/>
          <w:lang w:val="en-US"/>
        </w:rPr>
        <w:t xml:space="preserve">Name: Cary Michael </w:t>
      </w:r>
      <w:proofErr w:type="spellStart"/>
      <w:r>
        <w:rPr>
          <w:rFonts w:ascii="Arial" w:hAnsi="Arial"/>
          <w:sz w:val="16"/>
          <w:szCs w:val="16"/>
          <w:lang w:val="en-US"/>
        </w:rPr>
        <w:t>Lambrix</w:t>
      </w:r>
      <w:proofErr w:type="spellEnd"/>
    </w:p>
    <w:p w:rsidR="00000864" w:rsidRDefault="002C6C7A">
      <w:pPr>
        <w:pStyle w:val="Body"/>
      </w:pPr>
      <w:r>
        <w:rPr>
          <w:rFonts w:ascii="Arial" w:hAnsi="Arial"/>
          <w:sz w:val="16"/>
          <w:szCs w:val="16"/>
        </w:rPr>
        <w:t>Gender m/f:  m</w:t>
      </w:r>
    </w:p>
    <w:p w:rsidR="00000864" w:rsidRDefault="002C6C7A">
      <w:pPr>
        <w:pStyle w:val="Body"/>
      </w:pPr>
      <w:r>
        <w:rPr>
          <w:rFonts w:ascii="Arial" w:hAnsi="Arial"/>
          <w:sz w:val="16"/>
          <w:szCs w:val="16"/>
          <w:lang w:val="en-US"/>
        </w:rPr>
        <w:t>Further information on UA:</w:t>
      </w:r>
      <w:r>
        <w:rPr>
          <w:rFonts w:ascii="Arial" w:hAnsi="Arial"/>
          <w:sz w:val="16"/>
          <w:szCs w:val="16"/>
          <w:lang w:val="en-US"/>
        </w:rPr>
        <w:t xml:space="preserve"> 31/15 Index: AMR 51/3192/2016 Issue Date: 13 January 2016</w:t>
      </w:r>
    </w:p>
    <w:sectPr w:rsidR="00000864">
      <w:headerReference w:type="default" r:id="rId6"/>
      <w:footerReference w:type="default" r:id="rId7"/>
      <w:pgSz w:w="11900" w:h="16840"/>
      <w:pgMar w:top="851" w:right="851" w:bottom="2552" w:left="85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C6C7A" w:rsidRDefault="002C6C7A">
      <w:r>
        <w:separator/>
      </w:r>
    </w:p>
  </w:endnote>
  <w:endnote w:type="continuationSeparator" w:id="0">
    <w:p w:rsidR="002C6C7A" w:rsidRDefault="002C6C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Lucida Grande">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864" w:rsidRDefault="00000864">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C6C7A" w:rsidRDefault="002C6C7A">
      <w:r>
        <w:separator/>
      </w:r>
    </w:p>
  </w:footnote>
  <w:footnote w:type="continuationSeparator" w:id="0">
    <w:p w:rsidR="002C6C7A" w:rsidRDefault="002C6C7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864" w:rsidRDefault="00000864">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864"/>
    <w:rsid w:val="00000864"/>
    <w:rsid w:val="000D40CB"/>
    <w:rsid w:val="002C6C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CE375E7-5B52-4490-A186-0157DCDB27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
    <w:name w:val="Body"/>
    <w:rPr>
      <w:rFonts w:cs="Arial Unicode MS"/>
      <w:color w:val="000000"/>
      <w:sz w:val="24"/>
      <w:szCs w:val="24"/>
      <w:u w:color="000000"/>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Default Theme">
  <a:themeElements>
    <a:clrScheme name="Default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Default Theme">
      <a:majorFont>
        <a:latin typeface="Helvetica"/>
        <a:ea typeface="Helvetica"/>
        <a:cs typeface="Helvetica"/>
      </a:majorFont>
      <a:minorFont>
        <a:latin typeface="Helvetica"/>
        <a:ea typeface="Helvetica"/>
        <a:cs typeface="Helvetica"/>
      </a:minorFont>
    </a:fontScheme>
    <a:fmtScheme name="Default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1252</Words>
  <Characters>7140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Curbishley</dc:creator>
  <cp:lastModifiedBy>Peter Curbishley</cp:lastModifiedBy>
  <cp:revision>2</cp:revision>
  <dcterms:created xsi:type="dcterms:W3CDTF">2016-01-15T12:55:00Z</dcterms:created>
  <dcterms:modified xsi:type="dcterms:W3CDTF">2016-01-15T12:55:00Z</dcterms:modified>
</cp:coreProperties>
</file>