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9E544D" w14:textId="64223D6E" w:rsidR="008B5CF6" w:rsidRPr="00DB24F8" w:rsidRDefault="008B5CF6" w:rsidP="004E4B52">
      <w:pPr>
        <w:rPr>
          <w:rFonts w:asciiTheme="minorHAnsi" w:hAnsiTheme="minorHAnsi" w:cstheme="minorHAnsi"/>
          <w:b/>
          <w:bCs/>
          <w:sz w:val="28"/>
          <w:szCs w:val="28"/>
          <w:u w:val="single"/>
        </w:rPr>
      </w:pPr>
      <w:r w:rsidRPr="00DB24F8">
        <w:rPr>
          <w:rFonts w:asciiTheme="minorHAnsi" w:hAnsiTheme="minorHAnsi" w:cstheme="minorHAnsi"/>
          <w:b/>
          <w:bCs/>
          <w:sz w:val="28"/>
          <w:szCs w:val="28"/>
          <w:u w:val="single"/>
        </w:rPr>
        <w:t>Human Rights: A Conservative Party Approach</w:t>
      </w:r>
    </w:p>
    <w:p w14:paraId="109BA265" w14:textId="3DB1B2B7" w:rsidR="008B5CF6" w:rsidRDefault="008B5CF6" w:rsidP="004E4B52">
      <w:pPr>
        <w:rPr>
          <w:rFonts w:asciiTheme="minorHAnsi" w:hAnsiTheme="minorHAnsi" w:cstheme="minorHAnsi"/>
          <w:sz w:val="24"/>
          <w:szCs w:val="24"/>
        </w:rPr>
      </w:pPr>
    </w:p>
    <w:p w14:paraId="7898CC02" w14:textId="77777777" w:rsidR="00DB24F8" w:rsidRDefault="008B5CF6" w:rsidP="004E4B52">
      <w:pPr>
        <w:rPr>
          <w:rFonts w:ascii="Calibri" w:hAnsi="Calibri" w:cs="Calibri"/>
          <w:color w:val="000000"/>
          <w:sz w:val="24"/>
          <w:szCs w:val="24"/>
          <w:shd w:val="clear" w:color="auto" w:fill="FFFFFF"/>
        </w:rPr>
      </w:pPr>
      <w:r>
        <w:rPr>
          <w:rFonts w:asciiTheme="minorHAnsi" w:hAnsiTheme="minorHAnsi" w:cstheme="minorHAnsi"/>
          <w:sz w:val="24"/>
          <w:szCs w:val="24"/>
        </w:rPr>
        <w:t xml:space="preserve">This is an extract from a Conservative Party booklet called </w:t>
      </w:r>
      <w:r w:rsidRPr="008B5CF6">
        <w:rPr>
          <w:rFonts w:asciiTheme="minorHAnsi" w:hAnsiTheme="minorHAnsi" w:cstheme="minorHAnsi"/>
          <w:b/>
          <w:bCs/>
          <w:sz w:val="24"/>
          <w:szCs w:val="24"/>
        </w:rPr>
        <w:t xml:space="preserve">Common Sense: Conservative Thinking in a </w:t>
      </w:r>
      <w:r>
        <w:rPr>
          <w:rFonts w:asciiTheme="minorHAnsi" w:hAnsiTheme="minorHAnsi" w:cstheme="minorHAnsi"/>
          <w:b/>
          <w:bCs/>
          <w:sz w:val="24"/>
          <w:szCs w:val="24"/>
        </w:rPr>
        <w:t>P</w:t>
      </w:r>
      <w:r w:rsidRPr="008B5CF6">
        <w:rPr>
          <w:rFonts w:asciiTheme="minorHAnsi" w:hAnsiTheme="minorHAnsi" w:cstheme="minorHAnsi"/>
          <w:b/>
          <w:bCs/>
          <w:sz w:val="24"/>
          <w:szCs w:val="24"/>
        </w:rPr>
        <w:t>ost-</w:t>
      </w:r>
      <w:r>
        <w:rPr>
          <w:rFonts w:asciiTheme="minorHAnsi" w:hAnsiTheme="minorHAnsi" w:cstheme="minorHAnsi"/>
          <w:b/>
          <w:bCs/>
          <w:sz w:val="24"/>
          <w:szCs w:val="24"/>
        </w:rPr>
        <w:t>L</w:t>
      </w:r>
      <w:r w:rsidRPr="008B5CF6">
        <w:rPr>
          <w:rFonts w:asciiTheme="minorHAnsi" w:hAnsiTheme="minorHAnsi" w:cstheme="minorHAnsi"/>
          <w:b/>
          <w:bCs/>
          <w:sz w:val="24"/>
          <w:szCs w:val="24"/>
        </w:rPr>
        <w:t xml:space="preserve">iberal Age. </w:t>
      </w:r>
      <w:r>
        <w:rPr>
          <w:rFonts w:asciiTheme="minorHAnsi" w:hAnsiTheme="minorHAnsi" w:cstheme="minorHAnsi"/>
          <w:b/>
          <w:bCs/>
          <w:sz w:val="24"/>
          <w:szCs w:val="24"/>
        </w:rPr>
        <w:t>I</w:t>
      </w:r>
      <w:r>
        <w:rPr>
          <w:rFonts w:asciiTheme="minorHAnsi" w:hAnsiTheme="minorHAnsi" w:cstheme="minorHAnsi"/>
          <w:sz w:val="24"/>
          <w:szCs w:val="24"/>
        </w:rPr>
        <w:t>ts very title postulates that liberalism is dead. The extract below relates only to views on Human Rights. Other chapter</w:t>
      </w:r>
      <w:r w:rsidR="00DB24F8">
        <w:rPr>
          <w:rFonts w:asciiTheme="minorHAnsi" w:hAnsiTheme="minorHAnsi" w:cstheme="minorHAnsi"/>
          <w:sz w:val="24"/>
          <w:szCs w:val="24"/>
        </w:rPr>
        <w:t>s</w:t>
      </w:r>
      <w:r>
        <w:rPr>
          <w:rFonts w:asciiTheme="minorHAnsi" w:hAnsiTheme="minorHAnsi" w:cstheme="minorHAnsi"/>
          <w:sz w:val="24"/>
          <w:szCs w:val="24"/>
        </w:rPr>
        <w:t xml:space="preserve"> are also worth reading, such as: </w:t>
      </w:r>
      <w:r w:rsidRPr="008B5CF6">
        <w:rPr>
          <w:rFonts w:ascii="Calibri" w:hAnsi="Calibri" w:cs="Calibri"/>
          <w:i/>
          <w:iCs/>
          <w:color w:val="000000"/>
          <w:sz w:val="24"/>
          <w:szCs w:val="24"/>
          <w:shd w:val="clear" w:color="auto" w:fill="FFFFFF"/>
        </w:rPr>
        <w:t>What is Wokeism</w:t>
      </w:r>
      <w:bookmarkStart w:id="0" w:name="_GoBack"/>
      <w:bookmarkEnd w:id="0"/>
      <w:r w:rsidRPr="008B5CF6">
        <w:rPr>
          <w:rFonts w:ascii="Calibri" w:hAnsi="Calibri" w:cs="Calibri"/>
          <w:i/>
          <w:iCs/>
          <w:color w:val="000000"/>
          <w:sz w:val="24"/>
          <w:szCs w:val="24"/>
          <w:shd w:val="clear" w:color="auto" w:fill="FFFFFF"/>
        </w:rPr>
        <w:t xml:space="preserve"> and How Can it be Defeated?</w:t>
      </w:r>
      <w:r>
        <w:rPr>
          <w:rFonts w:ascii="Calibri" w:hAnsi="Calibri" w:cs="Calibri"/>
          <w:color w:val="000000"/>
          <w:sz w:val="24"/>
          <w:szCs w:val="24"/>
          <w:shd w:val="clear" w:color="auto" w:fill="FFFFFF"/>
        </w:rPr>
        <w:t xml:space="preserve"> </w:t>
      </w:r>
    </w:p>
    <w:p w14:paraId="17D36763" w14:textId="77777777" w:rsidR="00DB24F8" w:rsidRDefault="00DB24F8" w:rsidP="004E4B52">
      <w:pPr>
        <w:rPr>
          <w:rFonts w:ascii="Calibri" w:hAnsi="Calibri" w:cs="Calibri"/>
          <w:color w:val="000000"/>
          <w:sz w:val="24"/>
          <w:szCs w:val="24"/>
          <w:shd w:val="clear" w:color="auto" w:fill="FFFFFF"/>
        </w:rPr>
      </w:pPr>
    </w:p>
    <w:p w14:paraId="6521EEE5" w14:textId="18D7548D" w:rsidR="008B5CF6" w:rsidRPr="008B5CF6" w:rsidRDefault="008B5CF6" w:rsidP="004E4B52">
      <w:pPr>
        <w:rPr>
          <w:rFonts w:asciiTheme="minorHAnsi" w:hAnsiTheme="minorHAnsi" w:cstheme="minorHAnsi"/>
          <w:sz w:val="24"/>
          <w:szCs w:val="24"/>
        </w:rPr>
      </w:pPr>
      <w:r>
        <w:rPr>
          <w:rFonts w:ascii="Calibri" w:hAnsi="Calibri" w:cs="Calibri"/>
          <w:color w:val="000000"/>
          <w:sz w:val="24"/>
          <w:szCs w:val="24"/>
          <w:shd w:val="clear" w:color="auto" w:fill="FFFFFF"/>
        </w:rPr>
        <w:t>Why does Woke</w:t>
      </w:r>
      <w:r w:rsidR="00DB24F8">
        <w:rPr>
          <w:rFonts w:ascii="Calibri" w:hAnsi="Calibri" w:cs="Calibri"/>
          <w:color w:val="000000"/>
          <w:sz w:val="24"/>
          <w:szCs w:val="24"/>
          <w:shd w:val="clear" w:color="auto" w:fill="FFFFFF"/>
        </w:rPr>
        <w:t xml:space="preserve">ism need defeating? </w:t>
      </w:r>
    </w:p>
    <w:p w14:paraId="604E55F5" w14:textId="77777777" w:rsidR="008B5CF6" w:rsidRDefault="008B5CF6" w:rsidP="004E4B52">
      <w:pPr>
        <w:rPr>
          <w:rFonts w:asciiTheme="minorHAnsi" w:hAnsiTheme="minorHAnsi" w:cstheme="minorHAnsi"/>
          <w:sz w:val="24"/>
          <w:szCs w:val="24"/>
        </w:rPr>
      </w:pPr>
    </w:p>
    <w:p w14:paraId="22EA07B2" w14:textId="4C1DC075" w:rsidR="00D701F6" w:rsidRPr="008B5CF6" w:rsidRDefault="004E4B52" w:rsidP="004E4B52">
      <w:pPr>
        <w:rPr>
          <w:rFonts w:asciiTheme="minorHAnsi" w:hAnsiTheme="minorHAnsi" w:cstheme="minorHAnsi"/>
          <w:b/>
          <w:bCs/>
          <w:sz w:val="24"/>
          <w:szCs w:val="24"/>
        </w:rPr>
      </w:pPr>
      <w:r w:rsidRPr="00DB24F8">
        <w:rPr>
          <w:rFonts w:asciiTheme="minorHAnsi" w:hAnsiTheme="minorHAnsi" w:cstheme="minorHAnsi"/>
          <w:b/>
          <w:bCs/>
          <w:sz w:val="28"/>
          <w:szCs w:val="28"/>
        </w:rPr>
        <w:t>Restoring rights, Reclaiming Liberty</w:t>
      </w:r>
      <w:r w:rsidR="00DB24F8">
        <w:rPr>
          <w:rFonts w:asciiTheme="minorHAnsi" w:hAnsiTheme="minorHAnsi" w:cstheme="minorHAnsi"/>
          <w:b/>
          <w:bCs/>
          <w:sz w:val="28"/>
          <w:szCs w:val="28"/>
        </w:rPr>
        <w:t>,</w:t>
      </w:r>
      <w:r w:rsidRPr="00DB24F8">
        <w:rPr>
          <w:rFonts w:asciiTheme="minorHAnsi" w:hAnsiTheme="minorHAnsi" w:cstheme="minorHAnsi"/>
          <w:b/>
          <w:bCs/>
          <w:sz w:val="28"/>
          <w:szCs w:val="28"/>
        </w:rPr>
        <w:t xml:space="preserve"> Danny Kruger MP</w:t>
      </w:r>
      <w:r w:rsidRPr="008B5CF6">
        <w:rPr>
          <w:rFonts w:asciiTheme="minorHAnsi" w:hAnsiTheme="minorHAnsi" w:cstheme="minorHAnsi"/>
          <w:b/>
          <w:bCs/>
          <w:sz w:val="24"/>
          <w:szCs w:val="24"/>
        </w:rPr>
        <w:t xml:space="preserve"> </w:t>
      </w:r>
      <w:r w:rsidR="00DB24F8" w:rsidRPr="00DB24F8">
        <w:rPr>
          <w:rFonts w:asciiTheme="minorHAnsi" w:hAnsiTheme="minorHAnsi" w:cstheme="minorHAnsi"/>
          <w:sz w:val="24"/>
          <w:szCs w:val="24"/>
        </w:rPr>
        <w:t>(Page 47)</w:t>
      </w:r>
    </w:p>
    <w:p w14:paraId="3D02F94C" w14:textId="77777777" w:rsidR="00D701F6" w:rsidRPr="008B5CF6" w:rsidRDefault="00D701F6" w:rsidP="004E4B52">
      <w:pPr>
        <w:rPr>
          <w:rFonts w:asciiTheme="minorHAnsi" w:hAnsiTheme="minorHAnsi" w:cstheme="minorHAnsi"/>
          <w:sz w:val="24"/>
          <w:szCs w:val="24"/>
        </w:rPr>
      </w:pPr>
    </w:p>
    <w:p w14:paraId="6E2FDFE9" w14:textId="77777777" w:rsidR="00D701F6" w:rsidRPr="00DB24F8" w:rsidRDefault="004E4B52" w:rsidP="004E4B52">
      <w:pPr>
        <w:rPr>
          <w:rFonts w:asciiTheme="minorHAnsi" w:hAnsiTheme="minorHAnsi" w:cstheme="minorHAnsi"/>
          <w:i/>
          <w:iCs/>
          <w:color w:val="3B3838" w:themeColor="background2" w:themeShade="40"/>
          <w:sz w:val="24"/>
          <w:szCs w:val="24"/>
        </w:rPr>
      </w:pPr>
      <w:r w:rsidRPr="00DB24F8">
        <w:rPr>
          <w:rFonts w:asciiTheme="minorHAnsi" w:hAnsiTheme="minorHAnsi" w:cstheme="minorHAnsi"/>
          <w:i/>
          <w:iCs/>
          <w:color w:val="3B3838" w:themeColor="background2" w:themeShade="40"/>
          <w:sz w:val="24"/>
          <w:szCs w:val="24"/>
        </w:rPr>
        <w:t xml:space="preserve">Danny Kruger was elected MP for Devizes in the December 2019 election. From July-December 2019 he was Political Secretary to Prime Minister Boris Johnson in 10 Downing Street, and formerly the Government's Expert Adviser on Civil Society at the Department for Digital, Culture, Media and Sport. Between 2008 and 2016 he founded and led two charities, the criminal justice project Only Connect and the West London Zone for Children and Young People. He was chief speechwriter to David Cameron MP as leader of the opposition; chief leader writer at the Daily Telegraph; and Director of Studies at the Centre for Policy Studies. He has a </w:t>
      </w:r>
      <w:proofErr w:type="spellStart"/>
      <w:r w:rsidRPr="00DB24F8">
        <w:rPr>
          <w:rFonts w:asciiTheme="minorHAnsi" w:hAnsiTheme="minorHAnsi" w:cstheme="minorHAnsi"/>
          <w:i/>
          <w:iCs/>
          <w:color w:val="3B3838" w:themeColor="background2" w:themeShade="40"/>
          <w:sz w:val="24"/>
          <w:szCs w:val="24"/>
        </w:rPr>
        <w:t>D.Phil</w:t>
      </w:r>
      <w:proofErr w:type="spellEnd"/>
      <w:r w:rsidRPr="00DB24F8">
        <w:rPr>
          <w:rFonts w:asciiTheme="minorHAnsi" w:hAnsiTheme="minorHAnsi" w:cstheme="minorHAnsi"/>
          <w:i/>
          <w:iCs/>
          <w:color w:val="3B3838" w:themeColor="background2" w:themeShade="40"/>
          <w:sz w:val="24"/>
          <w:szCs w:val="24"/>
        </w:rPr>
        <w:t xml:space="preserve"> in history from Oxford University and an MA from Edinburgh University. He is the author of On Fraternity: Politics beyond Liberty and Equality (Civitas, 2007). </w:t>
      </w:r>
    </w:p>
    <w:p w14:paraId="514E94D3" w14:textId="77777777" w:rsidR="00D701F6" w:rsidRPr="008B5CF6" w:rsidRDefault="00D701F6" w:rsidP="004E4B52">
      <w:pPr>
        <w:rPr>
          <w:rFonts w:asciiTheme="minorHAnsi" w:hAnsiTheme="minorHAnsi" w:cstheme="minorHAnsi"/>
          <w:sz w:val="24"/>
          <w:szCs w:val="24"/>
        </w:rPr>
      </w:pPr>
    </w:p>
    <w:p w14:paraId="5AAB9855" w14:textId="77777777" w:rsidR="00D701F6" w:rsidRPr="00DB24F8" w:rsidRDefault="004E4B52" w:rsidP="004E4B52">
      <w:pPr>
        <w:rPr>
          <w:rFonts w:asciiTheme="minorHAnsi" w:hAnsiTheme="minorHAnsi" w:cstheme="minorHAnsi"/>
          <w:sz w:val="24"/>
          <w:szCs w:val="24"/>
        </w:rPr>
      </w:pPr>
      <w:r w:rsidRPr="00DB24F8">
        <w:rPr>
          <w:rFonts w:asciiTheme="minorHAnsi" w:hAnsiTheme="minorHAnsi" w:cstheme="minorHAnsi"/>
          <w:sz w:val="24"/>
          <w:szCs w:val="24"/>
        </w:rPr>
        <w:t xml:space="preserve">The Government has announced a review of the operations of the Human Rights Act (HRA). This is therefore a good moment to examine the theory that lies behind the Act, and the European Convention on Human Rights (ECHR) which it enshrines into English law. </w:t>
      </w:r>
    </w:p>
    <w:p w14:paraId="08201538" w14:textId="77777777" w:rsidR="00D701F6" w:rsidRPr="00DB24F8" w:rsidRDefault="00D701F6" w:rsidP="004E4B52">
      <w:pPr>
        <w:rPr>
          <w:rFonts w:asciiTheme="minorHAnsi" w:hAnsiTheme="minorHAnsi" w:cstheme="minorHAnsi"/>
          <w:sz w:val="24"/>
          <w:szCs w:val="24"/>
        </w:rPr>
      </w:pPr>
    </w:p>
    <w:p w14:paraId="4C8CDD82" w14:textId="61977047" w:rsidR="00D701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The ECHR, drafted by British lawyers after World War II, is a sonorous retelling of the noble principles of freedom from oppression, designed to protect the peoples of Europe from a resurgence of tyranny.</w:t>
      </w:r>
    </w:p>
    <w:p w14:paraId="09BB3009" w14:textId="77777777" w:rsidR="00DB24F8" w:rsidRPr="008B5CF6" w:rsidRDefault="00DB24F8" w:rsidP="004E4B52">
      <w:pPr>
        <w:rPr>
          <w:rFonts w:asciiTheme="minorHAnsi" w:hAnsiTheme="minorHAnsi" w:cstheme="minorHAnsi"/>
          <w:sz w:val="24"/>
          <w:szCs w:val="24"/>
        </w:rPr>
      </w:pPr>
    </w:p>
    <w:p w14:paraId="552FD3DA" w14:textId="77777777" w:rsidR="00D701F6"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The difficulty is it sits uncomfortably with the – historically successful – English tradition of preventing tyranny. </w:t>
      </w:r>
    </w:p>
    <w:p w14:paraId="5E40FD8E" w14:textId="77777777" w:rsidR="00D701F6" w:rsidRPr="008B5CF6" w:rsidRDefault="00D701F6" w:rsidP="004E4B52">
      <w:pPr>
        <w:rPr>
          <w:rFonts w:asciiTheme="minorHAnsi" w:hAnsiTheme="minorHAnsi" w:cstheme="minorHAnsi"/>
          <w:sz w:val="24"/>
          <w:szCs w:val="24"/>
        </w:rPr>
      </w:pPr>
    </w:p>
    <w:p w14:paraId="49BF60A9" w14:textId="77777777" w:rsidR="00D701F6"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According to the English tradition ‘human’ rights are misnamed. The rights we really need, and the only ones we really have, derive from something higher and something lower than humankind. They derive from the idea of God, and from the fact of nations: from a Christian conception of law, and from the individual’s membership of a national community under an acknowledged state. </w:t>
      </w:r>
    </w:p>
    <w:p w14:paraId="753FF765" w14:textId="77777777" w:rsidR="00D701F6" w:rsidRPr="008B5CF6" w:rsidRDefault="00D701F6" w:rsidP="004E4B52">
      <w:pPr>
        <w:rPr>
          <w:rFonts w:asciiTheme="minorHAnsi" w:hAnsiTheme="minorHAnsi" w:cstheme="minorHAnsi"/>
          <w:sz w:val="24"/>
          <w:szCs w:val="24"/>
        </w:rPr>
      </w:pPr>
    </w:p>
    <w:p w14:paraId="31EDB89D" w14:textId="3CCC77B2" w:rsidR="00D701F6"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We have lost this idea of rights largely because of a misunderstanding about the nature of liberty, the essential quality that rights are supposed to protect. As Patrick Deneen has brilliantly explained in Why Liberalism Failed (2018), liberty was once understood as freedom from the internal tyrants of appetite and caprice, the debilitating impulses that hinder good conduct and well-being. To be free was to be an independent actor, capable of virtue. </w:t>
      </w:r>
    </w:p>
    <w:p w14:paraId="58652F17" w14:textId="77777777" w:rsidR="00D701F6" w:rsidRPr="008B5CF6" w:rsidRDefault="00D701F6" w:rsidP="004E4B52">
      <w:pPr>
        <w:rPr>
          <w:rFonts w:asciiTheme="minorHAnsi" w:hAnsiTheme="minorHAnsi" w:cstheme="minorHAnsi"/>
          <w:sz w:val="24"/>
          <w:szCs w:val="24"/>
        </w:rPr>
      </w:pPr>
    </w:p>
    <w:p w14:paraId="50D27761" w14:textId="77777777" w:rsidR="00D701F6"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The old idea was that we are born slaves to appetite but can gain some measure of freedom through good education and good institutions. The new idea is that, as Rousseau said, </w:t>
      </w:r>
      <w:r w:rsidRPr="008B5CF6">
        <w:rPr>
          <w:rFonts w:asciiTheme="minorHAnsi" w:hAnsiTheme="minorHAnsi" w:cstheme="minorHAnsi"/>
          <w:sz w:val="24"/>
          <w:szCs w:val="24"/>
        </w:rPr>
        <w:lastRenderedPageBreak/>
        <w:t xml:space="preserve">people are ‘born free, but everywhere in chains’ – the chains being the various oppressions of society. And so, in this view liberty is not freedom from caprice, but liberation from human bondage. The job of government, and of culture, is to enable this liberation: to dismantle the structures of oppression and give the widest possible scope to the individual to do what they like. Liberty, then, is not freedom from appetite but freedom to indulge appetite. </w:t>
      </w:r>
    </w:p>
    <w:p w14:paraId="242E3E2F" w14:textId="77777777" w:rsidR="00D701F6" w:rsidRPr="008B5CF6" w:rsidRDefault="00D701F6" w:rsidP="004E4B52">
      <w:pPr>
        <w:rPr>
          <w:rFonts w:asciiTheme="minorHAnsi" w:hAnsiTheme="minorHAnsi" w:cstheme="minorHAnsi"/>
          <w:sz w:val="24"/>
          <w:szCs w:val="24"/>
        </w:rPr>
      </w:pPr>
    </w:p>
    <w:p w14:paraId="2D9C66A3" w14:textId="77777777" w:rsidR="00D701F6"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Of course, people were and are in human bondage, and ‘virtue’ in a prison or under the heel of a tyrant is rather limited vision of the good life. Rival conceptions of virtue, moreover – of the religious basis of society – have the tendency to trigger vicious conflict. And so, after centuries of religious and political strife, John Locke developed what became the origin of modern rights theory. </w:t>
      </w:r>
    </w:p>
    <w:p w14:paraId="5FF05AC2" w14:textId="77777777" w:rsidR="00D701F6" w:rsidRPr="008B5CF6" w:rsidRDefault="00D701F6" w:rsidP="004E4B52">
      <w:pPr>
        <w:rPr>
          <w:rFonts w:asciiTheme="minorHAnsi" w:hAnsiTheme="minorHAnsi" w:cstheme="minorHAnsi"/>
          <w:sz w:val="24"/>
          <w:szCs w:val="24"/>
        </w:rPr>
      </w:pPr>
    </w:p>
    <w:p w14:paraId="21197D5B" w14:textId="77777777" w:rsidR="00D701F6"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Locke believed that God had given people freedom of conscience, or religious belief. His liberalism, which is </w:t>
      </w:r>
      <w:proofErr w:type="spellStart"/>
      <w:r w:rsidRPr="008B5CF6">
        <w:rPr>
          <w:rFonts w:asciiTheme="minorHAnsi" w:hAnsiTheme="minorHAnsi" w:cstheme="minorHAnsi"/>
          <w:sz w:val="24"/>
          <w:szCs w:val="24"/>
        </w:rPr>
        <w:t>reall</w:t>
      </w:r>
      <w:proofErr w:type="spellEnd"/>
      <w:r w:rsidRPr="008B5CF6">
        <w:rPr>
          <w:rFonts w:asciiTheme="minorHAnsi" w:hAnsiTheme="minorHAnsi" w:cstheme="minorHAnsi"/>
          <w:sz w:val="24"/>
          <w:szCs w:val="24"/>
        </w:rPr>
        <w:t xml:space="preserve"> a cornerstone of conservatism too, rested on human fallibility: no government, any more than any one of us, can understand everything or get everything right, so we need protections against the effect of others’ errors, and particularly against their efforts to enforce their beliefs on us. The state, too, should be subject to this control: ‘laws not men should rule.’</w:t>
      </w:r>
    </w:p>
    <w:p w14:paraId="6F60A9D1" w14:textId="77777777" w:rsidR="00D701F6" w:rsidRPr="008B5CF6" w:rsidRDefault="00D701F6" w:rsidP="004E4B52">
      <w:pPr>
        <w:rPr>
          <w:rFonts w:asciiTheme="minorHAnsi" w:hAnsiTheme="minorHAnsi" w:cstheme="minorHAnsi"/>
          <w:sz w:val="24"/>
          <w:szCs w:val="24"/>
        </w:rPr>
      </w:pPr>
    </w:p>
    <w:p w14:paraId="2D5ECB1E" w14:textId="77777777" w:rsidR="0084703E"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If Locke’s idea of rights derived from Christian principles, the next phase of rights theory rejected these foundations. The Enlightenment project was an attempt to construct an alternative basis for morality and human order than the one in the Bible: a rationalist system in which the enemy was not human fallibility but social hierarchy and religion itself. There is ‘neither God nor master,’ said the French revolutionaries in the Declaration of the Rights of Man. In their place were rights themselves, soon known as ‘human’ rights to sever the link with God or the nation. Gone was the doctrine of fallibility, the humble liberal-conservative starting point of Locke. In its place was ‘man,’ all-knowing and supreme. </w:t>
      </w:r>
    </w:p>
    <w:p w14:paraId="10B64329" w14:textId="77777777" w:rsidR="0084703E" w:rsidRPr="008B5CF6" w:rsidRDefault="0084703E" w:rsidP="004E4B52">
      <w:pPr>
        <w:rPr>
          <w:rFonts w:asciiTheme="minorHAnsi" w:hAnsiTheme="minorHAnsi" w:cstheme="minorHAnsi"/>
          <w:sz w:val="24"/>
          <w:szCs w:val="24"/>
        </w:rPr>
      </w:pPr>
    </w:p>
    <w:p w14:paraId="671C9220" w14:textId="77777777" w:rsidR="0084703E"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The consequence in France is well known: a tyranny more awful and absolute than the Bourbons, a new religion (a sort of bizarre Deism), and an aggressive nationalism that sought to ‘liberate’ Europe through conquest. </w:t>
      </w:r>
    </w:p>
    <w:p w14:paraId="0A9755E6" w14:textId="77777777" w:rsidR="0084703E" w:rsidRPr="008B5CF6" w:rsidRDefault="0084703E" w:rsidP="004E4B52">
      <w:pPr>
        <w:rPr>
          <w:rFonts w:asciiTheme="minorHAnsi" w:hAnsiTheme="minorHAnsi" w:cstheme="minorHAnsi"/>
          <w:sz w:val="24"/>
          <w:szCs w:val="24"/>
        </w:rPr>
      </w:pPr>
    </w:p>
    <w:p w14:paraId="6F2E5735" w14:textId="77777777" w:rsidR="0084703E"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Britain, too, was susceptible to this virus. Locke had invested the first and foundational right – the freedom of religious belief – with the quality of property: something belonging to the individual alone, and thus absolute and inalienable. And so, from an early stage we came to think of rights as the means by which we are set free from external pressure, free from obligations to others; and from there it is a small step to the hypocritical assumption that rights confer obligations on others to satisfy us. </w:t>
      </w:r>
    </w:p>
    <w:p w14:paraId="76E6C437" w14:textId="77777777" w:rsidR="0084703E" w:rsidRPr="008B5CF6" w:rsidRDefault="0084703E" w:rsidP="004E4B52">
      <w:pPr>
        <w:rPr>
          <w:rFonts w:asciiTheme="minorHAnsi" w:hAnsiTheme="minorHAnsi" w:cstheme="minorHAnsi"/>
          <w:sz w:val="24"/>
          <w:szCs w:val="24"/>
        </w:rPr>
      </w:pPr>
    </w:p>
    <w:p w14:paraId="30D75A94" w14:textId="6F16D2D6" w:rsidR="0084703E"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Rather than protections against overweening power, rights have become in Roger Scruton’s words ‘claims against others.’ As Scruton put it, ‘to suppose that there are “natural” and therefore “human” rights which are also claims against others is to make a large and dangerous assumption... To think of human rights in this way is to fill the world with vague and unfulfillable obligations, and therefore with vast and </w:t>
      </w:r>
      <w:proofErr w:type="spellStart"/>
      <w:r w:rsidRPr="008B5CF6">
        <w:rPr>
          <w:rFonts w:asciiTheme="minorHAnsi" w:hAnsiTheme="minorHAnsi" w:cstheme="minorHAnsi"/>
          <w:sz w:val="24"/>
          <w:szCs w:val="24"/>
        </w:rPr>
        <w:t>irresoluble</w:t>
      </w:r>
      <w:proofErr w:type="spellEnd"/>
      <w:r w:rsidRPr="008B5CF6">
        <w:rPr>
          <w:rFonts w:asciiTheme="minorHAnsi" w:hAnsiTheme="minorHAnsi" w:cstheme="minorHAnsi"/>
          <w:sz w:val="24"/>
          <w:szCs w:val="24"/>
        </w:rPr>
        <w:t xml:space="preserve"> conflicts.’11 This is because rights-as-claims unmoor us from the common law tradition of gradual, caseby-case </w:t>
      </w:r>
      <w:r w:rsidRPr="008B5CF6">
        <w:rPr>
          <w:rFonts w:asciiTheme="minorHAnsi" w:hAnsiTheme="minorHAnsi" w:cstheme="minorHAnsi"/>
          <w:sz w:val="24"/>
          <w:szCs w:val="24"/>
        </w:rPr>
        <w:lastRenderedPageBreak/>
        <w:t xml:space="preserve">accommodation, the gradual working-out of good relations among neighbours through a long series of settled conflicts. Instead we have a set of Platonic abstractions </w:t>
      </w:r>
    </w:p>
    <w:p w14:paraId="48A65599" w14:textId="46AC6761" w:rsidR="009107DF"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that give lawyers an infinite scope for absolute arguments, and judges (and even Ministers) a terrible power. </w:t>
      </w:r>
    </w:p>
    <w:p w14:paraId="5F06DC3D" w14:textId="77777777" w:rsidR="009107DF" w:rsidRPr="008B5CF6" w:rsidRDefault="009107DF" w:rsidP="004E4B52">
      <w:pPr>
        <w:rPr>
          <w:rFonts w:asciiTheme="minorHAnsi" w:hAnsiTheme="minorHAnsi" w:cstheme="minorHAnsi"/>
          <w:sz w:val="24"/>
          <w:szCs w:val="24"/>
        </w:rPr>
      </w:pPr>
    </w:p>
    <w:p w14:paraId="67AA0297" w14:textId="2A001ABE"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The ECHR recognises the problem with absolute claims: that they clash. Article 17 of the Convention explicitly prohibits people from using one of the rights it confers to undermine another. This is, of course, precisely the problem that runs through the Convention and its application domestically. The HRA attempts to remedy the problem in ways that are deeply concerning for liberty and the supremacy of Parliament, including: </w:t>
      </w:r>
    </w:p>
    <w:p w14:paraId="610EAEFB" w14:textId="77777777" w:rsidR="0021030B" w:rsidRPr="008B5CF6" w:rsidRDefault="0021030B" w:rsidP="004E4B52">
      <w:pPr>
        <w:rPr>
          <w:rFonts w:asciiTheme="minorHAnsi" w:hAnsiTheme="minorHAnsi" w:cstheme="minorHAnsi"/>
          <w:sz w:val="24"/>
          <w:szCs w:val="24"/>
        </w:rPr>
      </w:pPr>
    </w:p>
    <w:p w14:paraId="22A6309F" w14:textId="0B5BC9B9"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 the ‘power to take remedial action’ under Section 10 of the HRA, by which a Minister may amend legislation by order if it is thought incompatible with the ECHR; </w:t>
      </w:r>
    </w:p>
    <w:p w14:paraId="5B567F52" w14:textId="77777777" w:rsidR="0021030B" w:rsidRPr="008B5CF6" w:rsidRDefault="0021030B" w:rsidP="004E4B52">
      <w:pPr>
        <w:rPr>
          <w:rFonts w:asciiTheme="minorHAnsi" w:hAnsiTheme="minorHAnsi" w:cstheme="minorHAnsi"/>
          <w:sz w:val="24"/>
          <w:szCs w:val="24"/>
        </w:rPr>
      </w:pPr>
    </w:p>
    <w:p w14:paraId="1AE04D3F" w14:textId="205F40B6"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 the power of the courts under Section 3 to ‘change the meaning of enacted legislation’ to make it Convention-compliant - in other words, to interpret laws in a way which is inconsistent with Parliament’s intention in passing them; and </w:t>
      </w:r>
    </w:p>
    <w:p w14:paraId="01424A62" w14:textId="77777777" w:rsidR="0021030B" w:rsidRPr="008B5CF6" w:rsidRDefault="0021030B" w:rsidP="004E4B52">
      <w:pPr>
        <w:rPr>
          <w:rFonts w:asciiTheme="minorHAnsi" w:hAnsiTheme="minorHAnsi" w:cstheme="minorHAnsi"/>
          <w:sz w:val="24"/>
          <w:szCs w:val="24"/>
        </w:rPr>
      </w:pPr>
    </w:p>
    <w:p w14:paraId="14855475" w14:textId="77777777"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the misuse of the ‘margin of appreciation’ (the discretion allowed to nation states by Strasbourg) to give courts, rather than Parliament, the responsibility to balance conflicting rights and so make law.</w:t>
      </w:r>
    </w:p>
    <w:p w14:paraId="28D6BB0A" w14:textId="77777777" w:rsidR="0021030B" w:rsidRPr="008B5CF6" w:rsidRDefault="0021030B" w:rsidP="004E4B52">
      <w:pPr>
        <w:rPr>
          <w:rFonts w:asciiTheme="minorHAnsi" w:hAnsiTheme="minorHAnsi" w:cstheme="minorHAnsi"/>
          <w:sz w:val="24"/>
          <w:szCs w:val="24"/>
        </w:rPr>
      </w:pPr>
    </w:p>
    <w:p w14:paraId="2BFCD51C" w14:textId="77777777"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A ‘British Bill of Rights,’ as proposed by some Conservatives in recent years to replace the HRA, at least has better words in the title. Yet the danger is that unless a Bill of Rights does the same job as the HRA, that is incorporate the ECHR into British law, we will be worse off than before because we will be subject to a court in Strasbourg.</w:t>
      </w:r>
    </w:p>
    <w:p w14:paraId="10E87606" w14:textId="77777777" w:rsidR="0021030B" w:rsidRPr="008B5CF6" w:rsidRDefault="0021030B" w:rsidP="004E4B52">
      <w:pPr>
        <w:rPr>
          <w:rFonts w:asciiTheme="minorHAnsi" w:hAnsiTheme="minorHAnsi" w:cstheme="minorHAnsi"/>
          <w:sz w:val="24"/>
          <w:szCs w:val="24"/>
        </w:rPr>
      </w:pPr>
    </w:p>
    <w:p w14:paraId="000AC370" w14:textId="77777777"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Perhaps more useful in the first instance would be to work with fellow signatories to the ECHR to review aspects of the Convention, such as the power to deport foreign criminals. </w:t>
      </w:r>
    </w:p>
    <w:p w14:paraId="49E962F8" w14:textId="77777777" w:rsidR="0021030B" w:rsidRPr="008B5CF6" w:rsidRDefault="0021030B" w:rsidP="004E4B52">
      <w:pPr>
        <w:rPr>
          <w:rFonts w:asciiTheme="minorHAnsi" w:hAnsiTheme="minorHAnsi" w:cstheme="minorHAnsi"/>
          <w:sz w:val="24"/>
          <w:szCs w:val="24"/>
        </w:rPr>
      </w:pPr>
    </w:p>
    <w:p w14:paraId="5D1DA338" w14:textId="77777777"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More profoundly, however, we need a conversation about rights in the English legal tradition. </w:t>
      </w:r>
    </w:p>
    <w:p w14:paraId="3442163F" w14:textId="77777777" w:rsidR="0021030B" w:rsidRPr="008B5CF6" w:rsidRDefault="0021030B" w:rsidP="004E4B52">
      <w:pPr>
        <w:rPr>
          <w:rFonts w:asciiTheme="minorHAnsi" w:hAnsiTheme="minorHAnsi" w:cstheme="minorHAnsi"/>
          <w:sz w:val="24"/>
          <w:szCs w:val="24"/>
        </w:rPr>
      </w:pPr>
    </w:p>
    <w:p w14:paraId="7BFA6946" w14:textId="77777777"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We need to go beyond Locke, back to the foundations of the English law, and to the proper doctrine of liberty. Deneen again: ‘we did not become free by fighting oppression, but by conquering ourselves; then by taming the environment, forming a community and creating rules to live by.’ </w:t>
      </w:r>
    </w:p>
    <w:p w14:paraId="7F231E29" w14:textId="77777777" w:rsidR="0021030B" w:rsidRPr="008B5CF6" w:rsidRDefault="0021030B" w:rsidP="004E4B52">
      <w:pPr>
        <w:rPr>
          <w:rFonts w:asciiTheme="minorHAnsi" w:hAnsiTheme="minorHAnsi" w:cstheme="minorHAnsi"/>
          <w:sz w:val="24"/>
          <w:szCs w:val="24"/>
        </w:rPr>
      </w:pPr>
    </w:p>
    <w:p w14:paraId="6B5DE2B1" w14:textId="77777777"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These rules, in the form they ultimately come down to us in these islands, were first properly codified by Ethelbert, the 6th century Saxon King of Kent who was the first British ruler to convert to Christianity. He enshrined biblical principles into the laws of his kingdom and laid the foundation for King Alfred’s Law Code three centuries later. To these kings the secular space was a feature of Christian society, not its antithesis; the liberties of the individual have their origins in the dignity conferred on human beings by the God of the Bible. This core principle inspired Magna Carta and all the jurists of England down to William Blackstone. Like a steeple in a flooded valley this principle still stands, just, over the waves that broke across Europe in 1789. </w:t>
      </w:r>
    </w:p>
    <w:p w14:paraId="0BFCAB1C" w14:textId="77777777" w:rsidR="0021030B" w:rsidRPr="008B5CF6" w:rsidRDefault="0021030B" w:rsidP="004E4B52">
      <w:pPr>
        <w:rPr>
          <w:rFonts w:asciiTheme="minorHAnsi" w:hAnsiTheme="minorHAnsi" w:cstheme="minorHAnsi"/>
          <w:sz w:val="24"/>
          <w:szCs w:val="24"/>
        </w:rPr>
      </w:pPr>
    </w:p>
    <w:p w14:paraId="7CD3AFDC" w14:textId="642B71E7"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How to recover? We do not need an aggressive reassertion of Christianity, a new Ethelbert to enforce the true faith on a heathen nation. Instead we simply need to recover the idea of rights as what the philosopher Nicholas </w:t>
      </w:r>
      <w:proofErr w:type="spellStart"/>
      <w:r w:rsidRPr="008B5CF6">
        <w:rPr>
          <w:rFonts w:asciiTheme="minorHAnsi" w:hAnsiTheme="minorHAnsi" w:cstheme="minorHAnsi"/>
          <w:sz w:val="24"/>
          <w:szCs w:val="24"/>
        </w:rPr>
        <w:t>Wolterstorff</w:t>
      </w:r>
      <w:proofErr w:type="spellEnd"/>
      <w:r w:rsidRPr="008B5CF6">
        <w:rPr>
          <w:rFonts w:asciiTheme="minorHAnsi" w:hAnsiTheme="minorHAnsi" w:cstheme="minorHAnsi"/>
          <w:sz w:val="24"/>
          <w:szCs w:val="24"/>
        </w:rPr>
        <w:t xml:space="preserve">, quoted by David </w:t>
      </w:r>
      <w:proofErr w:type="spellStart"/>
      <w:r w:rsidRPr="008B5CF6">
        <w:rPr>
          <w:rFonts w:asciiTheme="minorHAnsi" w:hAnsiTheme="minorHAnsi" w:cstheme="minorHAnsi"/>
          <w:sz w:val="24"/>
          <w:szCs w:val="24"/>
        </w:rPr>
        <w:t>McIlory</w:t>
      </w:r>
      <w:proofErr w:type="spellEnd"/>
      <w:r w:rsidRPr="008B5CF6">
        <w:rPr>
          <w:rFonts w:asciiTheme="minorHAnsi" w:hAnsiTheme="minorHAnsi" w:cstheme="minorHAnsi"/>
          <w:sz w:val="24"/>
          <w:szCs w:val="24"/>
        </w:rPr>
        <w:t xml:space="preserve">, calls ‘normative social relationships.’ 12 Rights exist in real relations between real people. They are not individual possessions with the absolute and inalienable status of property, but a mutual recognition of the obligations we owe each other. </w:t>
      </w:r>
    </w:p>
    <w:p w14:paraId="26CE7576" w14:textId="77777777" w:rsidR="0021030B" w:rsidRPr="008B5CF6" w:rsidRDefault="0021030B" w:rsidP="004E4B52">
      <w:pPr>
        <w:rPr>
          <w:rFonts w:asciiTheme="minorHAnsi" w:hAnsiTheme="minorHAnsi" w:cstheme="minorHAnsi"/>
          <w:sz w:val="24"/>
          <w:szCs w:val="24"/>
        </w:rPr>
      </w:pPr>
    </w:p>
    <w:p w14:paraId="1215F00F" w14:textId="77777777"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 xml:space="preserve">This conception of rights must be rooted in the existence of a community – a real community, not the abstraction of ‘humankind.’ A real community entails reciprocal duties, situated in institutions that can enforce them and mediated by the conventions of people who know each other and share a common culture. This is the nation. We derive our rights from our citizenship (or more properly, our subjectship). </w:t>
      </w:r>
    </w:p>
    <w:p w14:paraId="20E78240" w14:textId="77777777" w:rsidR="0021030B" w:rsidRPr="008B5CF6" w:rsidRDefault="0021030B" w:rsidP="004E4B52">
      <w:pPr>
        <w:rPr>
          <w:rFonts w:asciiTheme="minorHAnsi" w:hAnsiTheme="minorHAnsi" w:cstheme="minorHAnsi"/>
          <w:sz w:val="24"/>
          <w:szCs w:val="24"/>
        </w:rPr>
      </w:pPr>
    </w:p>
    <w:p w14:paraId="01051959" w14:textId="77777777"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As the end of the Covid-19 crisis approaches, and the lifting of the restrictions it necessitated, a review of the powers of the state and the liberties of the subject could not be timelier. Many jurists, notably Lord Sumption, have raised very understandable concerns about the reach of the state under a series of laws and regulations brought in by government in the last year. Lord Sumption argues the state ‘has taken effective legal control, enforced by the policy, over the personal lives of the entire population.’ He makes a series of criticisms of the Government, but his real concern is that the public, Parliament, and most commentators were remarkably complaisant about the loss of liberty we have seen.</w:t>
      </w:r>
    </w:p>
    <w:p w14:paraId="090DB5A2" w14:textId="77777777" w:rsidR="0021030B" w:rsidRPr="008B5CF6" w:rsidRDefault="0021030B" w:rsidP="004E4B52">
      <w:pPr>
        <w:rPr>
          <w:rFonts w:asciiTheme="minorHAnsi" w:hAnsiTheme="minorHAnsi" w:cstheme="minorHAnsi"/>
          <w:sz w:val="24"/>
          <w:szCs w:val="24"/>
        </w:rPr>
      </w:pPr>
    </w:p>
    <w:p w14:paraId="5729F04B" w14:textId="77777777" w:rsidR="0021030B" w:rsidRPr="008B5CF6" w:rsidRDefault="004E4B52" w:rsidP="004E4B52">
      <w:pPr>
        <w:rPr>
          <w:rFonts w:asciiTheme="minorHAnsi" w:hAnsiTheme="minorHAnsi" w:cstheme="minorHAnsi"/>
          <w:sz w:val="24"/>
          <w:szCs w:val="24"/>
        </w:rPr>
      </w:pPr>
      <w:r w:rsidRPr="008B5CF6">
        <w:rPr>
          <w:rFonts w:asciiTheme="minorHAnsi" w:hAnsiTheme="minorHAnsi" w:cstheme="minorHAnsi"/>
          <w:sz w:val="24"/>
          <w:szCs w:val="24"/>
        </w:rPr>
        <w:t>‘This is how freedom dies,’ says Sumption. ‘When societies lose their liberty, it is not usually because some despot has crushed it under his boot. It is because people voluntarily surrendered their liberty out of fear of some external threat… the fault is not just in our government. It is in ourselves.’13 Whether Sumption is right or not about the pandemic response, he is right about this. We need to get our own ideas right, and then be prepared to defend them. The HRA review is a good place to start.</w:t>
      </w:r>
    </w:p>
    <w:p w14:paraId="00BEB5F9" w14:textId="77777777" w:rsidR="0021030B" w:rsidRPr="008B5CF6" w:rsidRDefault="0021030B" w:rsidP="004E4B52">
      <w:pPr>
        <w:rPr>
          <w:rFonts w:asciiTheme="minorHAnsi" w:hAnsiTheme="minorHAnsi" w:cstheme="minorHAnsi"/>
          <w:sz w:val="24"/>
          <w:szCs w:val="24"/>
        </w:rPr>
      </w:pPr>
    </w:p>
    <w:p w14:paraId="29273792" w14:textId="77777777" w:rsidR="00DB24F8" w:rsidRDefault="00DB24F8" w:rsidP="0021030B">
      <w:pPr>
        <w:ind w:left="1560" w:hanging="1560"/>
        <w:rPr>
          <w:rFonts w:asciiTheme="minorHAnsi" w:hAnsiTheme="minorHAnsi" w:cstheme="minorHAnsi"/>
          <w:sz w:val="24"/>
          <w:szCs w:val="24"/>
        </w:rPr>
      </w:pPr>
    </w:p>
    <w:p w14:paraId="01C2F476" w14:textId="6D2E6D62" w:rsidR="009107DF" w:rsidRPr="008B5CF6" w:rsidRDefault="009107DF" w:rsidP="0021030B">
      <w:pPr>
        <w:ind w:left="1560" w:hanging="1560"/>
        <w:rPr>
          <w:rFonts w:asciiTheme="minorHAnsi" w:hAnsiTheme="minorHAnsi" w:cstheme="minorHAnsi"/>
          <w:sz w:val="24"/>
          <w:szCs w:val="24"/>
        </w:rPr>
      </w:pPr>
      <w:r w:rsidRPr="008B5CF6">
        <w:rPr>
          <w:rFonts w:asciiTheme="minorHAnsi" w:hAnsiTheme="minorHAnsi" w:cstheme="minorHAnsi"/>
          <w:sz w:val="24"/>
          <w:szCs w:val="24"/>
        </w:rPr>
        <w:t xml:space="preserve">Roger Scruton, </w:t>
      </w:r>
      <w:r w:rsidR="0021030B" w:rsidRPr="008B5CF6">
        <w:rPr>
          <w:rFonts w:asciiTheme="minorHAnsi" w:hAnsiTheme="minorHAnsi" w:cstheme="minorHAnsi"/>
          <w:sz w:val="24"/>
          <w:szCs w:val="24"/>
        </w:rPr>
        <w:tab/>
      </w:r>
      <w:r w:rsidRPr="008B5CF6">
        <w:rPr>
          <w:rFonts w:asciiTheme="minorHAnsi" w:hAnsiTheme="minorHAnsi" w:cstheme="minorHAnsi"/>
          <w:sz w:val="24"/>
          <w:szCs w:val="24"/>
        </w:rPr>
        <w:t xml:space="preserve">‘The State Can’t Set You Free,’ The Spectator, October 2004    </w:t>
      </w:r>
    </w:p>
    <w:p w14:paraId="51E06526" w14:textId="28954350" w:rsidR="0021030B" w:rsidRPr="008B5CF6" w:rsidRDefault="0021030B" w:rsidP="004E4B52">
      <w:pPr>
        <w:rPr>
          <w:rFonts w:asciiTheme="minorHAnsi" w:hAnsiTheme="minorHAnsi" w:cstheme="minorHAnsi"/>
          <w:sz w:val="24"/>
          <w:szCs w:val="24"/>
        </w:rPr>
      </w:pPr>
    </w:p>
    <w:p w14:paraId="3AE35E8A" w14:textId="77777777" w:rsidR="0021030B" w:rsidRPr="008B5CF6" w:rsidRDefault="0021030B" w:rsidP="0021030B">
      <w:pPr>
        <w:ind w:left="1560" w:hanging="1560"/>
        <w:rPr>
          <w:rFonts w:asciiTheme="minorHAnsi" w:hAnsiTheme="minorHAnsi" w:cstheme="minorHAnsi"/>
          <w:sz w:val="24"/>
          <w:szCs w:val="24"/>
        </w:rPr>
      </w:pPr>
      <w:r w:rsidRPr="008B5CF6">
        <w:rPr>
          <w:rFonts w:asciiTheme="minorHAnsi" w:hAnsiTheme="minorHAnsi" w:cstheme="minorHAnsi"/>
          <w:sz w:val="24"/>
          <w:szCs w:val="24"/>
        </w:rPr>
        <w:t xml:space="preserve">David McIlroy, </w:t>
      </w:r>
      <w:r w:rsidRPr="008B5CF6">
        <w:rPr>
          <w:rFonts w:asciiTheme="minorHAnsi" w:hAnsiTheme="minorHAnsi" w:cstheme="minorHAnsi"/>
          <w:sz w:val="24"/>
          <w:szCs w:val="24"/>
        </w:rPr>
        <w:tab/>
        <w:t xml:space="preserve">‘The problem of human rights,’ The Kirby Laing Institute for Christian Ethics, Ethics in Brief, Spring 2014 </w:t>
      </w:r>
    </w:p>
    <w:p w14:paraId="2CD06A0F" w14:textId="77777777" w:rsidR="0021030B" w:rsidRPr="008B5CF6" w:rsidRDefault="0021030B" w:rsidP="0021030B">
      <w:pPr>
        <w:rPr>
          <w:rFonts w:asciiTheme="minorHAnsi" w:hAnsiTheme="minorHAnsi" w:cstheme="minorHAnsi"/>
          <w:sz w:val="24"/>
          <w:szCs w:val="24"/>
        </w:rPr>
      </w:pPr>
    </w:p>
    <w:p w14:paraId="7E08E440" w14:textId="3FAEB7DD" w:rsidR="0021030B" w:rsidRPr="008B5CF6" w:rsidRDefault="0021030B" w:rsidP="0021030B">
      <w:pPr>
        <w:ind w:left="1560" w:hanging="1560"/>
        <w:rPr>
          <w:rFonts w:asciiTheme="minorHAnsi" w:hAnsiTheme="minorHAnsi" w:cstheme="minorHAnsi"/>
          <w:sz w:val="24"/>
          <w:szCs w:val="24"/>
        </w:rPr>
      </w:pPr>
      <w:r w:rsidRPr="008B5CF6">
        <w:rPr>
          <w:rFonts w:asciiTheme="minorHAnsi" w:hAnsiTheme="minorHAnsi" w:cstheme="minorHAnsi"/>
          <w:sz w:val="24"/>
          <w:szCs w:val="24"/>
        </w:rPr>
        <w:t>Lord Sumption, ‘Government by decree: Covid-19 and the Constitution,’ Cambridge Freshfields Annual Law Lecture, 27 October 2020</w:t>
      </w:r>
    </w:p>
    <w:p w14:paraId="01442C1B" w14:textId="362968E8" w:rsidR="0021030B" w:rsidRPr="004E4B52" w:rsidRDefault="0021030B" w:rsidP="0021030B">
      <w:pPr>
        <w:ind w:left="1560" w:hanging="1560"/>
      </w:pPr>
    </w:p>
    <w:sectPr w:rsidR="0021030B" w:rsidRPr="004E4B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B52"/>
    <w:rsid w:val="0021030B"/>
    <w:rsid w:val="004E4B52"/>
    <w:rsid w:val="006A5839"/>
    <w:rsid w:val="0084703E"/>
    <w:rsid w:val="008B5CF6"/>
    <w:rsid w:val="009107DF"/>
    <w:rsid w:val="009B1BF1"/>
    <w:rsid w:val="00D701F6"/>
    <w:rsid w:val="00D9149A"/>
    <w:rsid w:val="00DB24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6A1CE"/>
  <w15:chartTrackingRefBased/>
  <w15:docId w15:val="{26D3189F-6413-46E9-B831-62573528A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1748</Words>
  <Characters>9965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Hodgson</dc:creator>
  <cp:keywords/>
  <dc:description/>
  <cp:lastModifiedBy>Peter Curbishley</cp:lastModifiedBy>
  <cp:revision>2</cp:revision>
  <dcterms:created xsi:type="dcterms:W3CDTF">2021-05-28T11:05:00Z</dcterms:created>
  <dcterms:modified xsi:type="dcterms:W3CDTF">2021-05-28T11:05:00Z</dcterms:modified>
</cp:coreProperties>
</file>